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2D99" w:rsidRDefault="0030021D" w:rsidP="0030021D">
      <w:pPr>
        <w:spacing w:before="100" w:line="230" w:lineRule="auto"/>
        <w:ind w:left="57" w:right="-283"/>
        <w:rPr>
          <w:rFonts w:ascii="Calibri"/>
          <w:sz w:val="60"/>
        </w:rPr>
      </w:pPr>
      <w:r>
        <w:rPr>
          <w:rFonts w:ascii="Calibri"/>
          <w:color w:val="231F20"/>
          <w:sz w:val="60"/>
        </w:rPr>
        <w:t>Responsabilidade nacional e desloca</w:t>
      </w:r>
      <w:r>
        <w:rPr>
          <w:rFonts w:ascii="Calibri"/>
          <w:color w:val="231F20"/>
          <w:sz w:val="60"/>
        </w:rPr>
        <w:t>çõ</w:t>
      </w:r>
      <w:r>
        <w:rPr>
          <w:rFonts w:ascii="Calibri"/>
          <w:color w:val="231F20"/>
          <w:sz w:val="60"/>
        </w:rPr>
        <w:t>es internas: quadro para a</w:t>
      </w:r>
      <w:r>
        <w:rPr>
          <w:rFonts w:ascii="Calibri"/>
          <w:color w:val="231F20"/>
          <w:sz w:val="60"/>
        </w:rPr>
        <w:t>çã</w:t>
      </w:r>
      <w:r>
        <w:rPr>
          <w:rFonts w:ascii="Calibri"/>
          <w:color w:val="231F20"/>
          <w:sz w:val="60"/>
        </w:rPr>
        <w:t>o</w:t>
      </w:r>
    </w:p>
    <w:p w:rsidR="00E22D99" w:rsidRDefault="0030021D">
      <w:pPr>
        <w:spacing w:line="287" w:lineRule="exact"/>
        <w:ind w:right="105"/>
        <w:jc w:val="right"/>
        <w:rPr>
          <w:rFonts w:ascii="Calibri"/>
          <w:sz w:val="24"/>
        </w:rPr>
      </w:pPr>
      <w:r>
        <w:rPr>
          <w:rFonts w:ascii="Calibri"/>
          <w:color w:val="231F20"/>
          <w:sz w:val="24"/>
        </w:rPr>
        <w:t>Erin Mooney</w:t>
      </w:r>
    </w:p>
    <w:p w:rsidR="00E22D99" w:rsidRDefault="00E22D99">
      <w:pPr>
        <w:spacing w:line="287" w:lineRule="exact"/>
        <w:jc w:val="right"/>
        <w:rPr>
          <w:rFonts w:ascii="Calibri"/>
          <w:sz w:val="24"/>
        </w:rPr>
        <w:sectPr w:rsidR="00E22D99">
          <w:type w:val="continuous"/>
          <w:pgSz w:w="12030" w:h="8680" w:orient="landscape"/>
          <w:pgMar w:top="60" w:right="1340" w:bottom="280" w:left="1060" w:header="720" w:footer="720" w:gutter="0"/>
          <w:cols w:space="720"/>
        </w:sectPr>
      </w:pPr>
    </w:p>
    <w:p w:rsidR="00E22D99" w:rsidRPr="00835EBE" w:rsidRDefault="003E66A3">
      <w:pPr>
        <w:spacing w:before="59" w:line="228" w:lineRule="auto"/>
        <w:ind w:left="136" w:right="32"/>
        <w:rPr>
          <w:rFonts w:ascii="Palatino Linotype" w:hAnsi="Palatino Linotype"/>
          <w:i/>
          <w:sz w:val="24"/>
          <w:szCs w:val="20"/>
        </w:rPr>
      </w:pPr>
      <w:r>
        <w:rPr>
          <w:sz w:val="20"/>
          <w:szCs w:val="20"/>
        </w:rPr>
        <w:pict>
          <v:shapetype id="_x0000_t202" coordsize="21600,21600" o:spt="202" path="m,l,21600r21600,l21600,xe">
            <v:stroke joinstyle="miter"/>
            <v:path gradientshapeok="t" o:connecttype="rect"/>
          </v:shapetype>
          <v:shape id="_x0000_s1035" type="#_x0000_t202" style="position:absolute;left:0;text-align:left;margin-left:59.7pt;margin-top:50.7pt;width:25.05pt;height:44.5pt;z-index:-15878656;mso-position-horizontal-relative:page" filled="f" stroked="f">
            <v:textbox inset="0,0,0,0">
              <w:txbxContent>
                <w:p w:rsidR="00E22D99" w:rsidRDefault="0030021D">
                  <w:pPr>
                    <w:spacing w:before="5"/>
                    <w:rPr>
                      <w:sz w:val="75"/>
                    </w:rPr>
                  </w:pPr>
                  <w:r>
                    <w:rPr>
                      <w:color w:val="231F20"/>
                      <w:sz w:val="75"/>
                    </w:rPr>
                    <w:t>O</w:t>
                  </w:r>
                </w:p>
              </w:txbxContent>
            </v:textbox>
            <w10:wrap anchorx="page"/>
          </v:shape>
        </w:pict>
      </w:r>
      <w:r w:rsidR="0030021D" w:rsidRPr="00835EBE">
        <w:rPr>
          <w:rFonts w:ascii="Book Antiqua" w:hAnsi="Book Antiqua"/>
          <w:i/>
          <w:color w:val="6D6E71"/>
          <w:sz w:val="24"/>
          <w:szCs w:val="20"/>
        </w:rPr>
        <w:t>As autoridades nacionais têm a principal responsabilidade de proteger e auxiliar as suas populações deslocadas internamente. Mas o que é que engloba especificamente esta responsabilidade</w:t>
      </w:r>
      <w:r w:rsidR="0030021D" w:rsidRPr="00835EBE">
        <w:rPr>
          <w:rFonts w:ascii="Palatino Linotype" w:hAnsi="Palatino Linotype"/>
          <w:i/>
          <w:color w:val="6D6E71"/>
          <w:sz w:val="24"/>
          <w:szCs w:val="20"/>
        </w:rPr>
        <w:t>?</w:t>
      </w:r>
    </w:p>
    <w:p w:rsidR="00E22D99" w:rsidRDefault="0030021D">
      <w:pPr>
        <w:pStyle w:val="Corpsdetexte"/>
        <w:spacing w:before="82" w:line="273" w:lineRule="auto"/>
        <w:ind w:left="136" w:right="154"/>
      </w:pPr>
      <w:r>
        <w:br w:type="column"/>
      </w:r>
    </w:p>
    <w:p w:rsidR="00E22D99" w:rsidRDefault="00E22D99">
      <w:pPr>
        <w:spacing w:line="273" w:lineRule="auto"/>
        <w:sectPr w:rsidR="00E22D99">
          <w:type w:val="continuous"/>
          <w:pgSz w:w="12030" w:h="8680" w:orient="landscape"/>
          <w:pgMar w:top="60" w:right="1340" w:bottom="280" w:left="1060" w:header="720" w:footer="720" w:gutter="0"/>
          <w:cols w:num="2" w:space="720" w:equalWidth="0">
            <w:col w:w="6305" w:space="181"/>
            <w:col w:w="3144"/>
          </w:cols>
        </w:sectPr>
      </w:pPr>
    </w:p>
    <w:p w:rsidR="00F45A45" w:rsidRDefault="00F45A45">
      <w:pPr>
        <w:pStyle w:val="Corpsdetexte"/>
        <w:spacing w:before="3" w:line="273" w:lineRule="auto"/>
        <w:ind w:left="634" w:right="50"/>
        <w:jc w:val="both"/>
      </w:pPr>
    </w:p>
    <w:p w:rsidR="00F45A45" w:rsidRDefault="00F45A45" w:rsidP="00F45A45">
      <w:pPr>
        <w:pStyle w:val="Corpsdetexte"/>
        <w:spacing w:before="3" w:line="273" w:lineRule="auto"/>
        <w:ind w:left="720" w:right="50"/>
        <w:jc w:val="both"/>
      </w:pPr>
    </w:p>
    <w:p w:rsidR="00F45A45" w:rsidRDefault="00F45A45" w:rsidP="00167A91">
      <w:pPr>
        <w:pStyle w:val="Corpsdetexte"/>
        <w:spacing w:before="3" w:line="273" w:lineRule="auto"/>
        <w:ind w:left="720" w:right="-567"/>
        <w:rPr>
          <w:color w:val="231F20"/>
        </w:rPr>
      </w:pPr>
      <w:r>
        <w:t>s</w:t>
      </w:r>
      <w:r>
        <w:rPr>
          <w:color w:val="231F20"/>
        </w:rPr>
        <w:t xml:space="preserve"> premissa básica para uma resposta nacional eficaz. Em</w:t>
      </w:r>
    </w:p>
    <w:p w:rsidR="00E22D99" w:rsidRDefault="00F45A45" w:rsidP="00167A91">
      <w:pPr>
        <w:pStyle w:val="Corpsdetexte"/>
        <w:spacing w:before="3" w:line="273" w:lineRule="auto"/>
        <w:ind w:left="133" w:right="-567"/>
      </w:pPr>
      <w:r>
        <w:rPr>
          <w:color w:val="231F20"/>
        </w:rPr>
        <w:t xml:space="preserve">mais de um caso, um governo classificou as PDI como “migrantes”, supostamente para desviar a atenção </w:t>
      </w:r>
      <w:r w:rsidR="0030021D">
        <w:rPr>
          <w:color w:val="231F20"/>
        </w:rPr>
        <w:t>Princípios Orientadores sobre as Deslocações Internas definem os direitos das PDI e as obrigações</w:t>
      </w:r>
      <w:r>
        <w:rPr>
          <w:color w:val="231F20"/>
        </w:rPr>
        <w:t xml:space="preserve"> </w:t>
      </w:r>
      <w:r w:rsidR="0030021D">
        <w:rPr>
          <w:color w:val="231F20"/>
        </w:rPr>
        <w:t>das autoridades nacionais para com elas. Porém, o que é menos claro é o que os governos podem fazer concretamente para assegurar que esses direitos são</w:t>
      </w:r>
      <w:r>
        <w:rPr>
          <w:color w:val="231F20"/>
        </w:rPr>
        <w:t xml:space="preserve"> </w:t>
      </w:r>
      <w:r w:rsidR="0030021D">
        <w:rPr>
          <w:color w:val="231F20"/>
        </w:rPr>
        <w:t>respeitados e as responsabilidades são cumpridas. Para ajudar, foi desenvolvido um Quadro de Responsabilidade Nacional que identifica os 12 passos essenciais para os governos:</w:t>
      </w:r>
    </w:p>
    <w:p w:rsidR="00E22D99" w:rsidRDefault="00E22D99" w:rsidP="00167A91">
      <w:pPr>
        <w:pStyle w:val="Corpsdetexte"/>
        <w:spacing w:before="3"/>
        <w:ind w:right="-567"/>
        <w:rPr>
          <w:sz w:val="18"/>
        </w:rPr>
      </w:pPr>
    </w:p>
    <w:p w:rsidR="00E22D99" w:rsidRDefault="0030021D" w:rsidP="00167A91">
      <w:pPr>
        <w:pStyle w:val="Paragraphedeliste"/>
        <w:numPr>
          <w:ilvl w:val="0"/>
          <w:numId w:val="3"/>
        </w:numPr>
        <w:tabs>
          <w:tab w:val="left" w:pos="322"/>
        </w:tabs>
        <w:spacing w:before="1"/>
        <w:ind w:right="-567"/>
        <w:jc w:val="left"/>
        <w:rPr>
          <w:sz w:val="16"/>
        </w:rPr>
      </w:pPr>
      <w:r>
        <w:rPr>
          <w:color w:val="231F20"/>
          <w:sz w:val="16"/>
        </w:rPr>
        <w:t xml:space="preserve"> Prevenção</w:t>
      </w:r>
    </w:p>
    <w:p w:rsidR="00E22D99" w:rsidRDefault="00E22D99" w:rsidP="00167A91">
      <w:pPr>
        <w:pStyle w:val="Corpsdetexte"/>
        <w:spacing w:before="5"/>
        <w:ind w:right="-567"/>
        <w:rPr>
          <w:sz w:val="20"/>
        </w:rPr>
      </w:pPr>
    </w:p>
    <w:p w:rsidR="008D212D" w:rsidRDefault="0030021D" w:rsidP="00167A91">
      <w:pPr>
        <w:pStyle w:val="Corpsdetexte"/>
        <w:spacing w:before="1" w:line="273" w:lineRule="auto"/>
        <w:ind w:left="133" w:right="-567"/>
        <w:rPr>
          <w:color w:val="231F20"/>
        </w:rPr>
      </w:pPr>
      <w:r>
        <w:rPr>
          <w:color w:val="231F20"/>
        </w:rPr>
        <w:t xml:space="preserve">Os governos têm a responsabilidade de evitar quaisquer condições que possam levar as populações a deixar as suas casas e, mais especificamente, de proteger os indivíduos da deslocação forçada. Cultivar um ambiente de respeito pelos direitos </w:t>
      </w:r>
      <w:r w:rsidR="008D212D">
        <w:rPr>
          <w:color w:val="231F20"/>
        </w:rPr>
        <w:t xml:space="preserve"> </w:t>
      </w:r>
    </w:p>
    <w:p w:rsidR="008D212D" w:rsidRDefault="008D212D" w:rsidP="00167A91">
      <w:pPr>
        <w:pStyle w:val="Corpsdetexte"/>
        <w:spacing w:before="1" w:line="273" w:lineRule="auto"/>
        <w:ind w:left="133" w:right="-567"/>
        <w:rPr>
          <w:color w:val="231F20"/>
        </w:rPr>
      </w:pPr>
    </w:p>
    <w:p w:rsidR="008D212D" w:rsidRDefault="008D212D" w:rsidP="00167A91">
      <w:pPr>
        <w:pStyle w:val="Corpsdetexte"/>
        <w:spacing w:before="1" w:line="273" w:lineRule="auto"/>
        <w:ind w:left="133" w:right="-567"/>
        <w:rPr>
          <w:color w:val="231F20"/>
        </w:rPr>
      </w:pPr>
    </w:p>
    <w:p w:rsidR="00E22D99" w:rsidRDefault="0030021D" w:rsidP="00167A91">
      <w:pPr>
        <w:pStyle w:val="Corpsdetexte"/>
        <w:spacing w:before="1" w:line="273" w:lineRule="auto"/>
        <w:ind w:left="133" w:right="-567"/>
      </w:pPr>
      <w:r>
        <w:rPr>
          <w:color w:val="231F20"/>
        </w:rPr>
        <w:t>humanos é fundamental. Também é necessário desenvolver mecanismos de alerta precoce e uma resposta</w:t>
      </w:r>
      <w:r w:rsidR="005A4AC6">
        <w:rPr>
          <w:color w:val="231F20"/>
        </w:rPr>
        <w:t xml:space="preserve"> </w:t>
      </w:r>
      <w:r>
        <w:rPr>
          <w:color w:val="231F20"/>
        </w:rPr>
        <w:t>rápida para proteger as populações sob ameaça, quer de conflito, quer de abuso ou de uma catástrofe natural. Se não for possível evitar a deslocação, as autoridades nacionais têm a responsabilidade de minimizar os seus efeitos adversos, cuidar da segurança e bem-estar das pessoas afetadas e assegurar que a deslocação não dura mais do que o estritamente necessário. Os governos têm a obrigação especial de proteger contra a deslocação os grupos indígenas, as minorias, os camponeses, os pastoralistas e outros grupos que dependam especialmente da terra e têm ligações à mesma.</w:t>
      </w:r>
    </w:p>
    <w:p w:rsidR="00E22D99" w:rsidRDefault="00E22D99" w:rsidP="00167A91">
      <w:pPr>
        <w:pStyle w:val="Corpsdetexte"/>
        <w:spacing w:before="6"/>
        <w:ind w:right="-567"/>
        <w:rPr>
          <w:sz w:val="18"/>
        </w:rPr>
      </w:pPr>
    </w:p>
    <w:p w:rsidR="00E22D99" w:rsidRDefault="0030021D" w:rsidP="00167A91">
      <w:pPr>
        <w:pStyle w:val="Paragraphedeliste"/>
        <w:numPr>
          <w:ilvl w:val="0"/>
          <w:numId w:val="3"/>
        </w:numPr>
        <w:tabs>
          <w:tab w:val="left" w:pos="322"/>
        </w:tabs>
        <w:spacing w:line="273" w:lineRule="auto"/>
        <w:ind w:left="333" w:right="-567" w:hanging="200"/>
        <w:jc w:val="left"/>
        <w:rPr>
          <w:sz w:val="16"/>
        </w:rPr>
      </w:pPr>
      <w:r>
        <w:rPr>
          <w:color w:val="231F20"/>
          <w:sz w:val="16"/>
        </w:rPr>
        <w:t xml:space="preserve"> Sensibilizar para o problema a nível nacional</w:t>
      </w:r>
    </w:p>
    <w:p w:rsidR="00E22D99" w:rsidRDefault="00E22D99" w:rsidP="00167A91">
      <w:pPr>
        <w:pStyle w:val="Corpsdetexte"/>
        <w:spacing w:before="4"/>
        <w:ind w:right="-567"/>
        <w:rPr>
          <w:sz w:val="18"/>
        </w:rPr>
      </w:pPr>
    </w:p>
    <w:p w:rsidR="00167A91" w:rsidRDefault="0030021D" w:rsidP="00167A91">
      <w:pPr>
        <w:pStyle w:val="Corpsdetexte"/>
        <w:spacing w:line="273" w:lineRule="auto"/>
        <w:ind w:left="133" w:right="-567"/>
        <w:rPr>
          <w:color w:val="231F20"/>
        </w:rPr>
      </w:pPr>
      <w:r>
        <w:rPr>
          <w:color w:val="231F20"/>
        </w:rPr>
        <w:t xml:space="preserve">Quando a deslocação interna ocorre, o </w:t>
      </w:r>
    </w:p>
    <w:p w:rsidR="008D212D" w:rsidRDefault="0030021D" w:rsidP="00167A91">
      <w:pPr>
        <w:pStyle w:val="Corpsdetexte"/>
        <w:spacing w:line="273" w:lineRule="auto"/>
        <w:ind w:left="133" w:right="-567"/>
        <w:rPr>
          <w:color w:val="231F20"/>
        </w:rPr>
      </w:pPr>
      <w:r>
        <w:rPr>
          <w:color w:val="231F20"/>
        </w:rPr>
        <w:t xml:space="preserve">reconhecimento, pelo governo, do problema e da sua responsabilidade em resolver o </w:t>
      </w:r>
    </w:p>
    <w:p w:rsidR="008D212D" w:rsidRDefault="008D212D" w:rsidP="00167A91">
      <w:pPr>
        <w:pStyle w:val="Corpsdetexte"/>
        <w:spacing w:line="273" w:lineRule="auto"/>
        <w:ind w:left="133" w:right="-567"/>
        <w:rPr>
          <w:color w:val="231F20"/>
        </w:rPr>
      </w:pPr>
    </w:p>
    <w:p w:rsidR="008D212D" w:rsidRDefault="008D212D" w:rsidP="00167A91">
      <w:pPr>
        <w:pStyle w:val="Corpsdetexte"/>
        <w:spacing w:line="273" w:lineRule="auto"/>
        <w:ind w:left="133" w:right="-567"/>
        <w:rPr>
          <w:color w:val="231F20"/>
        </w:rPr>
      </w:pPr>
    </w:p>
    <w:p w:rsidR="00E22D99" w:rsidRDefault="0030021D" w:rsidP="00167A91">
      <w:pPr>
        <w:pStyle w:val="Corpsdetexte"/>
        <w:spacing w:line="273" w:lineRule="auto"/>
        <w:ind w:left="133" w:right="-567"/>
      </w:pPr>
      <w:r>
        <w:rPr>
          <w:color w:val="231F20"/>
        </w:rPr>
        <w:t>problema é</w:t>
      </w:r>
      <w:r w:rsidR="00656828">
        <w:rPr>
          <w:color w:val="231F20"/>
        </w:rPr>
        <w:t xml:space="preserve"> </w:t>
      </w:r>
      <w:r>
        <w:rPr>
          <w:color w:val="231F20"/>
        </w:rPr>
        <w:t>da natureza involuntária do seu movimento e evitar responsabilidades. Por conseguinte, as declarações públicas sobre o problema das deslocações internas são importantes. O reconhecimento e uso, pelo governo, dos Princípios Orientadores, é sinal do seu reconhecimento das necessidades especiais das PDI, bem como das suas obrigações de proteger os seus direitos. É também um meio de sensibilização</w:t>
      </w:r>
    </w:p>
    <w:p w:rsidR="00E22D99" w:rsidRDefault="0030021D" w:rsidP="00167A91">
      <w:pPr>
        <w:pStyle w:val="Corpsdetexte"/>
        <w:spacing w:before="2" w:line="273" w:lineRule="auto"/>
        <w:ind w:left="133" w:right="-567"/>
      </w:pPr>
      <w:r>
        <w:rPr>
          <w:color w:val="231F20"/>
        </w:rPr>
        <w:t>para o problema, criando um consenso nacional e promovendo a solidariedade para com os deslocados.</w:t>
      </w:r>
    </w:p>
    <w:p w:rsidR="00E22D99" w:rsidRDefault="00E22D99" w:rsidP="00167A91">
      <w:pPr>
        <w:pStyle w:val="Corpsdetexte"/>
        <w:spacing w:before="4"/>
        <w:ind w:right="-567"/>
        <w:rPr>
          <w:sz w:val="18"/>
        </w:rPr>
      </w:pPr>
    </w:p>
    <w:p w:rsidR="00E22D99" w:rsidRDefault="0030021D" w:rsidP="00167A91">
      <w:pPr>
        <w:pStyle w:val="Paragraphedeliste"/>
        <w:numPr>
          <w:ilvl w:val="0"/>
          <w:numId w:val="3"/>
        </w:numPr>
        <w:tabs>
          <w:tab w:val="left" w:pos="322"/>
        </w:tabs>
        <w:ind w:right="-567"/>
        <w:jc w:val="left"/>
        <w:rPr>
          <w:sz w:val="16"/>
        </w:rPr>
      </w:pPr>
      <w:r>
        <w:rPr>
          <w:color w:val="231F20"/>
          <w:sz w:val="16"/>
        </w:rPr>
        <w:t>3. Recolha de dados</w:t>
      </w:r>
    </w:p>
    <w:p w:rsidR="00E22D99" w:rsidRDefault="00E22D99" w:rsidP="00167A91">
      <w:pPr>
        <w:pStyle w:val="Corpsdetexte"/>
        <w:spacing w:before="6"/>
        <w:ind w:right="-567"/>
        <w:rPr>
          <w:sz w:val="20"/>
        </w:rPr>
      </w:pPr>
    </w:p>
    <w:p w:rsidR="00E22D99" w:rsidRDefault="0030021D" w:rsidP="00167A91">
      <w:pPr>
        <w:pStyle w:val="Corpsdetexte"/>
        <w:spacing w:line="273" w:lineRule="auto"/>
        <w:ind w:left="133" w:right="-567"/>
      </w:pPr>
      <w:r>
        <w:rPr>
          <w:color w:val="231F20"/>
        </w:rPr>
        <w:t>É essencial que haja informação credível sobre o número, localização e estado das pessoas deslocadas internamente para a conceção de políticas e programas eficazes para responder às suas necessidades e proteger os seus direitos. Os dados devem ser discriminados por idade, género</w:t>
      </w:r>
    </w:p>
    <w:p w:rsidR="00E22D99" w:rsidRDefault="00E22D99">
      <w:pPr>
        <w:spacing w:line="273" w:lineRule="auto"/>
        <w:sectPr w:rsidR="00E22D99">
          <w:type w:val="continuous"/>
          <w:pgSz w:w="12030" w:h="8680" w:orient="landscape"/>
          <w:pgMar w:top="60" w:right="1340" w:bottom="280" w:left="1060" w:header="720" w:footer="720" w:gutter="0"/>
          <w:cols w:num="3" w:space="720" w:equalWidth="0">
            <w:col w:w="3061" w:space="183"/>
            <w:col w:w="3050" w:space="194"/>
            <w:col w:w="3142"/>
          </w:cols>
        </w:sectPr>
      </w:pPr>
    </w:p>
    <w:p w:rsidR="00E22D99" w:rsidRDefault="003E66A3">
      <w:pPr>
        <w:pStyle w:val="Titre1"/>
        <w:tabs>
          <w:tab w:val="left" w:pos="8543"/>
        </w:tabs>
        <w:spacing w:before="81"/>
      </w:pPr>
      <w:r>
        <w:lastRenderedPageBreak/>
        <w:pict>
          <v:shape id="_x0000_s1034" style="position:absolute;left:0;text-align:left;margin-left:71.75pt;margin-top:21.05pt;width:469.85pt;height:.1pt;z-index:-15728128;mso-wrap-distance-left:0;mso-wrap-distance-right:0;mso-position-horizontal-relative:page" coordorigin="1435,421" coordsize="9397,0" path="m1435,421r9397,e" filled="f" strokecolor="#231f20">
            <v:path arrowok="t"/>
            <w10:wrap type="topAndBottom" anchorx="page"/>
          </v:shape>
        </w:pict>
      </w:r>
      <w:r w:rsidR="0030021D">
        <w:rPr>
          <w:noProof/>
        </w:rPr>
        <w:drawing>
          <wp:anchor distT="0" distB="0" distL="0" distR="0" simplePos="0" relativeHeight="15729664" behindDoc="0" locked="0" layoutInCell="1" allowOverlap="1">
            <wp:simplePos x="0" y="0"/>
            <wp:positionH relativeFrom="page">
              <wp:posOffset>902100</wp:posOffset>
            </wp:positionH>
            <wp:positionV relativeFrom="paragraph">
              <wp:posOffset>385931</wp:posOffset>
            </wp:positionV>
            <wp:extent cx="3869999" cy="431362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3869999" cy="4313620"/>
                    </a:xfrm>
                    <a:prstGeom prst="rect">
                      <a:avLst/>
                    </a:prstGeom>
                  </pic:spPr>
                </pic:pic>
              </a:graphicData>
            </a:graphic>
          </wp:anchor>
        </w:drawing>
      </w:r>
      <w:r w:rsidR="0030021D">
        <w:rPr>
          <w:color w:val="231F20"/>
          <w:shd w:val="clear" w:color="auto" w:fill="BCBEC0"/>
        </w:rPr>
        <w:t>12</w:t>
      </w:r>
      <w:r w:rsidR="0030021D">
        <w:rPr>
          <w:color w:val="231F20"/>
        </w:rPr>
        <w:t xml:space="preserve">  Responsabilidade nacional e deslocação interna</w:t>
      </w:r>
      <w:r w:rsidR="0030021D">
        <w:rPr>
          <w:color w:val="231F20"/>
        </w:rPr>
        <w:tab/>
      </w:r>
      <w:r w:rsidR="0030021D">
        <w:rPr>
          <w:rFonts w:ascii="Calibri"/>
          <w:b w:val="0"/>
          <w:color w:val="231F20"/>
        </w:rPr>
        <w:t xml:space="preserve">FMR </w:t>
      </w:r>
      <w:r w:rsidR="0030021D">
        <w:rPr>
          <w:color w:val="231F20"/>
        </w:rPr>
        <w:t>Suplemento sobre as PDI</w:t>
      </w:r>
    </w:p>
    <w:p w:rsidR="00E22D99" w:rsidRDefault="0030021D">
      <w:pPr>
        <w:pStyle w:val="Corpsdetexte"/>
        <w:spacing w:before="108" w:line="266" w:lineRule="auto"/>
        <w:ind w:left="7701" w:right="1098"/>
      </w:pPr>
      <w:r>
        <w:rPr>
          <w:color w:val="231F20"/>
        </w:rPr>
        <w:t>com os seus governos para adaptar as leis nacionais aos Princípios.</w:t>
      </w:r>
      <w:r>
        <w:rPr>
          <w:color w:val="231F20"/>
          <w:sz w:val="9"/>
          <w:vertAlign w:val="superscript"/>
        </w:rPr>
        <w:t>2</w:t>
      </w:r>
      <w:r>
        <w:rPr>
          <w:color w:val="231F20"/>
          <w:sz w:val="9"/>
        </w:rPr>
        <w:t xml:space="preserve"> </w:t>
      </w:r>
      <w:r>
        <w:rPr>
          <w:color w:val="231F20"/>
        </w:rPr>
        <w:t>Estão também em curso iniciativas para reforçar a legislação nacional sobre deslocações internas em vários outros países. Para auxiliar estes esforços, o Representante do Secretário-Geral para os Direitos Humanos das Pessoas Deslocadas Internamente está a desenvolver um manual nacional para legisladores que identifica e fornece orientações jurídicas sobre os principais elementos para inclusão na legislação nacional sobre as deslocações internas (consultar o artigo de Walter Kälin, pp. 8 a 9.) É claro que a responsabilidade nacional deve implicar não só adotar essa legislação nacional, mas também implementar</w:t>
      </w:r>
    </w:p>
    <w:p w:rsidR="00E22D99" w:rsidRDefault="003E66A3">
      <w:pPr>
        <w:pStyle w:val="Corpsdetexte"/>
        <w:spacing w:before="15" w:line="266" w:lineRule="auto"/>
        <w:ind w:left="7701" w:right="1022"/>
      </w:pPr>
      <w:r>
        <w:pict>
          <v:shape id="_x0000_s1033" type="#_x0000_t202" style="position:absolute;left:0;text-align:left;margin-left:72.6pt;margin-top:56.2pt;width:8.55pt;height:94.35pt;z-index:15730176;mso-position-horizontal-relative:page" filled="f" stroked="f">
            <v:textbox style="layout-flow:vertical;mso-layout-flow-alt:bottom-to-top;mso-next-textbox:#_x0000_s1033" inset="0,0,0,0">
              <w:txbxContent>
                <w:p w:rsidR="00E22D99" w:rsidRDefault="0030021D">
                  <w:pPr>
                    <w:spacing w:before="8"/>
                    <w:ind w:left="20"/>
                    <w:rPr>
                      <w:rFonts w:ascii="Calibri"/>
                      <w:sz w:val="12"/>
                    </w:rPr>
                  </w:pPr>
                  <w:r>
                    <w:rPr>
                      <w:rFonts w:ascii="Calibri"/>
                      <w:color w:val="FFFFFF"/>
                      <w:sz w:val="12"/>
                    </w:rPr>
                    <w:t>Anneli Dufva, IKON/ACT International</w:t>
                  </w:r>
                </w:p>
              </w:txbxContent>
            </v:textbox>
            <w10:wrap anchorx="page"/>
          </v:shape>
        </w:pict>
      </w:r>
      <w:r w:rsidR="0030021D">
        <w:t>a mesma.</w:t>
      </w:r>
      <w:r w:rsidR="0030021D">
        <w:rPr>
          <w:color w:val="231F20"/>
        </w:rPr>
        <w:t xml:space="preserve"> O caso da Colômbia, onde uma lei nacional muito abrangente sobre as PDI está em vigor desde 1997, realça este ponto de forma significativa.</w:t>
      </w:r>
    </w:p>
    <w:p w:rsidR="00E22D99" w:rsidRDefault="00E22D99">
      <w:pPr>
        <w:pStyle w:val="Corpsdetexte"/>
        <w:spacing w:before="7"/>
        <w:rPr>
          <w:sz w:val="18"/>
        </w:rPr>
      </w:pPr>
    </w:p>
    <w:p w:rsidR="00E22D99" w:rsidRDefault="0030021D" w:rsidP="002B4AC8">
      <w:pPr>
        <w:pStyle w:val="Corpsdetexte"/>
        <w:ind w:left="7701"/>
      </w:pPr>
      <w:r>
        <w:rPr>
          <w:color w:val="231F20"/>
        </w:rPr>
        <w:t>6. Política nacional ou plano de ação</w:t>
      </w:r>
    </w:p>
    <w:p w:rsidR="00E22D99" w:rsidRDefault="00E22D99" w:rsidP="002B4AC8">
      <w:pPr>
        <w:pStyle w:val="Corpsdetexte"/>
        <w:rPr>
          <w:sz w:val="12"/>
        </w:rPr>
      </w:pPr>
    </w:p>
    <w:p w:rsidR="00E22D99" w:rsidRDefault="00E22D99" w:rsidP="002B4AC8">
      <w:pPr>
        <w:rPr>
          <w:sz w:val="12"/>
        </w:rPr>
        <w:sectPr w:rsidR="00E22D99">
          <w:pgSz w:w="12030" w:h="16780"/>
          <w:pgMar w:top="700" w:right="180" w:bottom="280" w:left="220" w:header="720" w:footer="720" w:gutter="0"/>
          <w:cols w:space="720"/>
        </w:sectPr>
      </w:pPr>
    </w:p>
    <w:p w:rsidR="00E22D99" w:rsidRDefault="00E22D99" w:rsidP="002B4AC8">
      <w:pPr>
        <w:pStyle w:val="Corpsdetexte"/>
      </w:pPr>
    </w:p>
    <w:p w:rsidR="00E22D99" w:rsidRDefault="00E22D99" w:rsidP="002B4AC8">
      <w:pPr>
        <w:pStyle w:val="Corpsdetexte"/>
      </w:pPr>
    </w:p>
    <w:p w:rsidR="00E22D99" w:rsidRDefault="00E22D99" w:rsidP="002B4AC8">
      <w:pPr>
        <w:pStyle w:val="Corpsdetexte"/>
      </w:pPr>
    </w:p>
    <w:p w:rsidR="00E22D99" w:rsidRDefault="00E22D99" w:rsidP="002B4AC8">
      <w:pPr>
        <w:pStyle w:val="Corpsdetexte"/>
      </w:pPr>
    </w:p>
    <w:p w:rsidR="00E22D99" w:rsidRDefault="00E22D99" w:rsidP="002B4AC8">
      <w:pPr>
        <w:pStyle w:val="Corpsdetexte"/>
      </w:pPr>
    </w:p>
    <w:p w:rsidR="00E22D99" w:rsidRDefault="00E22D99" w:rsidP="002B4AC8">
      <w:pPr>
        <w:pStyle w:val="Corpsdetexte"/>
      </w:pPr>
    </w:p>
    <w:p w:rsidR="00E22D99" w:rsidRDefault="00E22D99" w:rsidP="002B4AC8">
      <w:pPr>
        <w:pStyle w:val="Corpsdetexte"/>
      </w:pPr>
    </w:p>
    <w:p w:rsidR="00E22D99" w:rsidRDefault="00E22D99" w:rsidP="002B4AC8">
      <w:pPr>
        <w:pStyle w:val="Corpsdetexte"/>
      </w:pPr>
    </w:p>
    <w:p w:rsidR="00E22D99" w:rsidRDefault="0030021D" w:rsidP="002B4AC8">
      <w:pPr>
        <w:spacing w:before="141"/>
        <w:ind w:left="108"/>
        <w:rPr>
          <w:rFonts w:ascii="Book Antiqua"/>
          <w:i/>
          <w:sz w:val="14"/>
        </w:rPr>
      </w:pPr>
      <w:r>
        <w:rPr>
          <w:rFonts w:ascii="Book Antiqua"/>
          <w:i/>
          <w:color w:val="231F20"/>
          <w:sz w:val="14"/>
        </w:rPr>
        <w:t>PDIs na Col</w:t>
      </w:r>
      <w:r>
        <w:rPr>
          <w:rFonts w:ascii="Book Antiqua"/>
          <w:i/>
          <w:color w:val="231F20"/>
          <w:sz w:val="14"/>
        </w:rPr>
        <w:t>ô</w:t>
      </w:r>
      <w:r>
        <w:rPr>
          <w:rFonts w:ascii="Book Antiqua"/>
          <w:i/>
          <w:color w:val="231F20"/>
          <w:sz w:val="14"/>
        </w:rPr>
        <w:t>mbia.</w:t>
      </w:r>
    </w:p>
    <w:p w:rsidR="00E22D99" w:rsidRDefault="0030021D" w:rsidP="002B4AC8">
      <w:pPr>
        <w:pStyle w:val="Corpsdetexte"/>
        <w:rPr>
          <w:rFonts w:ascii="Book Antiqua"/>
          <w:i/>
          <w:sz w:val="18"/>
        </w:rPr>
      </w:pPr>
      <w:r>
        <w:br w:type="column"/>
      </w:r>
    </w:p>
    <w:p w:rsidR="00E22D99" w:rsidRDefault="00E22D99" w:rsidP="002B4AC8">
      <w:pPr>
        <w:pStyle w:val="Corpsdetexte"/>
        <w:rPr>
          <w:rFonts w:ascii="Book Antiqua"/>
          <w:i/>
          <w:sz w:val="18"/>
        </w:rPr>
      </w:pPr>
    </w:p>
    <w:p w:rsidR="00E22D99" w:rsidRDefault="00E22D99" w:rsidP="002B4AC8">
      <w:pPr>
        <w:pStyle w:val="Corpsdetexte"/>
        <w:rPr>
          <w:rFonts w:ascii="Book Antiqua"/>
          <w:i/>
          <w:sz w:val="18"/>
        </w:rPr>
      </w:pPr>
    </w:p>
    <w:p w:rsidR="00E22D99" w:rsidRDefault="00E22D99" w:rsidP="002B4AC8">
      <w:pPr>
        <w:pStyle w:val="Corpsdetexte"/>
        <w:rPr>
          <w:rFonts w:ascii="Book Antiqua"/>
          <w:i/>
          <w:sz w:val="18"/>
        </w:rPr>
      </w:pPr>
    </w:p>
    <w:p w:rsidR="00E22D99" w:rsidRDefault="0030021D" w:rsidP="002B4AC8">
      <w:pPr>
        <w:pStyle w:val="Corpsdetexte"/>
        <w:spacing w:line="273" w:lineRule="auto"/>
        <w:ind w:left="73"/>
      </w:pPr>
      <w:r>
        <w:rPr>
          <w:color w:val="231F20"/>
        </w:rPr>
        <w:t>e outros indicadores-chave, para que as necessidades específicas de grupos específicos de PDIs possam ser tidas em consideração. Deve ser dada atenção às diferentes causas da deslocação. Além disso, é necessário ter informação não só relativa às PDI em situações de emergência, mas também relativa às que estão em situações de deslocação prolongada. É de salientar que a recolha de dados e os processos de registo não devem, de forma alguma, pôr em risco a segurança dos deslocados, nem afetar o seu direito legal de usufruir da proteção e assistência do seu governo.</w:t>
      </w:r>
    </w:p>
    <w:p w:rsidR="00E22D99" w:rsidRDefault="00E22D99" w:rsidP="002B4AC8">
      <w:pPr>
        <w:pStyle w:val="Corpsdetexte"/>
        <w:spacing w:before="5"/>
        <w:rPr>
          <w:sz w:val="18"/>
        </w:rPr>
      </w:pPr>
    </w:p>
    <w:p w:rsidR="00E22D99" w:rsidRDefault="0030021D" w:rsidP="002B4AC8">
      <w:pPr>
        <w:pStyle w:val="Paragraphedeliste"/>
        <w:numPr>
          <w:ilvl w:val="0"/>
          <w:numId w:val="3"/>
        </w:numPr>
        <w:tabs>
          <w:tab w:val="left" w:pos="262"/>
        </w:tabs>
        <w:spacing w:before="1"/>
        <w:ind w:left="261"/>
        <w:jc w:val="left"/>
        <w:rPr>
          <w:sz w:val="16"/>
        </w:rPr>
      </w:pPr>
      <w:r>
        <w:rPr>
          <w:color w:val="231F20"/>
          <w:sz w:val="16"/>
        </w:rPr>
        <w:t xml:space="preserve"> Formação</w:t>
      </w:r>
    </w:p>
    <w:p w:rsidR="00E22D99" w:rsidRDefault="00E22D99" w:rsidP="002B4AC8">
      <w:pPr>
        <w:pStyle w:val="Corpsdetexte"/>
        <w:spacing w:before="7"/>
        <w:rPr>
          <w:sz w:val="22"/>
        </w:rPr>
      </w:pPr>
    </w:p>
    <w:p w:rsidR="00E22D99" w:rsidRDefault="0030021D" w:rsidP="002B4AC8">
      <w:pPr>
        <w:pStyle w:val="Corpsdetexte"/>
        <w:spacing w:line="273" w:lineRule="auto"/>
        <w:ind w:left="73"/>
      </w:pPr>
      <w:r>
        <w:rPr>
          <w:color w:val="231F20"/>
        </w:rPr>
        <w:t>A formação sobre os Princípios Orientadores para funcionários governamentais, incluindo administradores de campos, militares e polícias, é essencial para assegurar a sensibilização para os deveres de proteção e assistência às PDI. Também ajuda a desenvolver a capacidade e responsabilidade do governo. Além disso, os governos devem acolher as iniciativas de formação para a sociedade civil e, ainda mais importante, para as próprias PDI que, obviamente,</w:t>
      </w:r>
    </w:p>
    <w:p w:rsidR="00E22D99" w:rsidRDefault="0030021D" w:rsidP="002B4AC8">
      <w:pPr>
        <w:pStyle w:val="Corpsdetexte"/>
        <w:spacing w:before="2" w:line="273" w:lineRule="auto"/>
        <w:ind w:left="73"/>
        <w:rPr>
          <w:color w:val="231F20"/>
        </w:rPr>
      </w:pPr>
      <w:r>
        <w:rPr>
          <w:color w:val="231F20"/>
        </w:rPr>
        <w:t>devem conhecer os seus direitos. Efetivamente, foi em resposta a um pedido do governo do Uganda que foi</w:t>
      </w:r>
    </w:p>
    <w:p w:rsidR="00305CD7" w:rsidRDefault="00305CD7" w:rsidP="002B4AC8">
      <w:pPr>
        <w:pStyle w:val="Corpsdetexte"/>
        <w:spacing w:before="2" w:line="273" w:lineRule="auto"/>
        <w:ind w:left="73"/>
        <w:rPr>
          <w:color w:val="231F20"/>
        </w:rPr>
      </w:pPr>
    </w:p>
    <w:p w:rsidR="00305CD7" w:rsidRDefault="00305CD7" w:rsidP="002B4AC8">
      <w:pPr>
        <w:pStyle w:val="Corpsdetexte"/>
        <w:spacing w:before="2" w:line="273" w:lineRule="auto"/>
        <w:ind w:left="73"/>
        <w:rPr>
          <w:color w:val="231F20"/>
        </w:rPr>
      </w:pPr>
    </w:p>
    <w:p w:rsidR="00305CD7" w:rsidRDefault="00305CD7" w:rsidP="002B4AC8">
      <w:pPr>
        <w:pStyle w:val="Corpsdetexte"/>
        <w:spacing w:before="2" w:line="273" w:lineRule="auto"/>
        <w:ind w:left="73"/>
        <w:rPr>
          <w:color w:val="231F20"/>
        </w:rPr>
      </w:pPr>
    </w:p>
    <w:p w:rsidR="00305CD7" w:rsidRDefault="00305CD7" w:rsidP="002B4AC8">
      <w:pPr>
        <w:pStyle w:val="Corpsdetexte"/>
        <w:spacing w:before="2" w:line="273" w:lineRule="auto"/>
        <w:ind w:left="73"/>
        <w:rPr>
          <w:color w:val="231F20"/>
        </w:rPr>
      </w:pPr>
    </w:p>
    <w:p w:rsidR="00E22D99" w:rsidRDefault="0030021D" w:rsidP="002B4AC8">
      <w:pPr>
        <w:pStyle w:val="Corpsdetexte"/>
        <w:spacing w:before="1" w:line="273" w:lineRule="auto"/>
        <w:ind w:left="73"/>
      </w:pPr>
      <w:r>
        <w:rPr>
          <w:color w:val="231F20"/>
        </w:rPr>
        <w:t>realizado o primeiro workshop de formação sobre os Princípios Orientadores e foi desenvolvida uma</w:t>
      </w:r>
      <w:r w:rsidR="00305CD7">
        <w:rPr>
          <w:color w:val="231F20"/>
        </w:rPr>
        <w:t xml:space="preserve"> </w:t>
      </w:r>
      <w:r>
        <w:rPr>
          <w:color w:val="231F20"/>
        </w:rPr>
        <w:t>série de módulos de formação sobre as deslocações internas pelo Projeto Global das PDI do Conselho Norueguês para os Refugiados e o Alto Comissariado da ONU para os Direitos Humanos, em 1999.</w:t>
      </w:r>
      <w:r>
        <w:rPr>
          <w:color w:val="231F20"/>
          <w:vertAlign w:val="superscript"/>
        </w:rPr>
        <w:t>1</w:t>
      </w:r>
      <w:r>
        <w:rPr>
          <w:color w:val="231F20"/>
        </w:rPr>
        <w:t xml:space="preserve"> Desde então, foram realizados workshops de formação semelhantes que reuniram representantes do governo nacional e local, da sociedade civil, das comunidades de PDIs e de agências internacionais, em mais de 20 países.</w:t>
      </w:r>
    </w:p>
    <w:p w:rsidR="00E22D99" w:rsidRDefault="00E22D99" w:rsidP="002B4AC8">
      <w:pPr>
        <w:pStyle w:val="Corpsdetexte"/>
        <w:spacing w:before="5"/>
        <w:rPr>
          <w:sz w:val="18"/>
        </w:rPr>
      </w:pPr>
    </w:p>
    <w:p w:rsidR="00E22D99" w:rsidRDefault="0030021D" w:rsidP="002B4AC8">
      <w:pPr>
        <w:pStyle w:val="Paragraphedeliste"/>
        <w:numPr>
          <w:ilvl w:val="0"/>
          <w:numId w:val="3"/>
        </w:numPr>
        <w:tabs>
          <w:tab w:val="left" w:pos="297"/>
        </w:tabs>
        <w:ind w:left="296"/>
        <w:jc w:val="left"/>
        <w:rPr>
          <w:sz w:val="16"/>
        </w:rPr>
      </w:pPr>
      <w:r>
        <w:rPr>
          <w:color w:val="231F20"/>
          <w:sz w:val="16"/>
        </w:rPr>
        <w:t xml:space="preserve"> Quadro legal nacional</w:t>
      </w:r>
    </w:p>
    <w:p w:rsidR="00E22D99" w:rsidRDefault="00E22D99" w:rsidP="002B4AC8">
      <w:pPr>
        <w:pStyle w:val="Corpsdetexte"/>
        <w:spacing w:before="2"/>
        <w:rPr>
          <w:sz w:val="14"/>
        </w:rPr>
      </w:pPr>
    </w:p>
    <w:p w:rsidR="00E22D99" w:rsidRDefault="0030021D" w:rsidP="00472EC7">
      <w:pPr>
        <w:pStyle w:val="Corpsdetexte"/>
        <w:spacing w:line="266" w:lineRule="auto"/>
        <w:ind w:left="108" w:right="454"/>
      </w:pPr>
      <w:r>
        <w:rPr>
          <w:color w:val="231F20"/>
        </w:rPr>
        <w:t xml:space="preserve">Uma vez que a proteção é essencialmente um conceito jurídico, o desenvolvimento de um quadro legal nacional que defende os direitos das PDI é um indicador especialmente importante de responsabilidade nacional e um veículo fundamental para a sua concretização. As resoluções da ONU incentivaram os estados com populações deslocadas internamente a desenvolver quadros legais nacionais reforçados. São cada vez mais os governos a fazê-lo, incluindo Angola, Burundi, Colômbia, Geórgia e Peru, quer pela adoção de novas leis ou revisão das atuais para se adaptarem aos Princípios Orientadores. A sociedade civil pode apoiar estes esforços. Na Arménia, </w:t>
      </w:r>
      <w:r>
        <w:rPr>
          <w:color w:val="231F20"/>
        </w:rPr>
        <w:t>Azerbaijão e Geórgia, os advogados e as ONG locais levaram a cabo uma análise abrangente da legislação nacional, começando depois a trabalhar</w:t>
      </w:r>
      <w:r w:rsidR="000D1443">
        <w:rPr>
          <w:color w:val="231F20"/>
        </w:rPr>
        <w:t xml:space="preserve"> </w:t>
      </w:r>
      <w:r>
        <w:rPr>
          <w:color w:val="231F20"/>
        </w:rPr>
        <w:t>A adoção de uma política ou plano de ação nacional é uma medida distinta, porém complementar, para a promulgação da legislação nacional.</w:t>
      </w:r>
    </w:p>
    <w:p w:rsidR="00E22D99" w:rsidRDefault="0030021D" w:rsidP="00472EC7">
      <w:pPr>
        <w:pStyle w:val="Corpsdetexte"/>
        <w:spacing w:before="1" w:line="273" w:lineRule="auto"/>
        <w:ind w:left="108" w:right="454"/>
      </w:pPr>
      <w:r>
        <w:rPr>
          <w:color w:val="231F20"/>
        </w:rPr>
        <w:t>Devia, por exemplo, especificar as responsabilidades institucionais locais e nacionais na resposta às deslocações internas, bem como identificar um mecanismo de coordenação. As resoluções da ONU incentivaram os governos dos países afetados pelas deslocações internas a adotar planos ou iniciativas nacionais para assegurar a proteção e assistência às PDI. Por exemplo, o governo do Uganda desenvolveu uma política nacional sobre deslocações internas utilizando os Princípios Orientadores como quadro. Na Nigéria, um exercício semelhante está em curso, após uma série de reuniões públicas onde foi ouvida a opinião das PDI e das comunidades locais. Uma política nacional sobre as deslocações internas será mais eficaz quando desenvolvida em plena concertação com a sociedade civil e as PDI. Após concluídos, uma política ou plano</w:t>
      </w:r>
    </w:p>
    <w:p w:rsidR="00E22D99" w:rsidRDefault="0030021D" w:rsidP="00472EC7">
      <w:pPr>
        <w:pStyle w:val="Corpsdetexte"/>
        <w:spacing w:before="4" w:line="273" w:lineRule="auto"/>
        <w:ind w:left="108" w:right="454"/>
      </w:pPr>
      <w:r>
        <w:rPr>
          <w:color w:val="231F20"/>
        </w:rPr>
        <w:t>de ação nacional deve ser amplamente divulgado, sobretudo junto das PDI, no seu próprio idioma e num formato que possam compreender facilmente.</w:t>
      </w:r>
    </w:p>
    <w:p w:rsidR="00E22D99" w:rsidRDefault="00E22D99" w:rsidP="00472EC7">
      <w:pPr>
        <w:pStyle w:val="Corpsdetexte"/>
        <w:spacing w:before="3"/>
        <w:ind w:right="454"/>
        <w:rPr>
          <w:sz w:val="18"/>
        </w:rPr>
      </w:pPr>
    </w:p>
    <w:p w:rsidR="00E22D99" w:rsidRDefault="0030021D" w:rsidP="00472EC7">
      <w:pPr>
        <w:pStyle w:val="Paragraphedeliste"/>
        <w:numPr>
          <w:ilvl w:val="0"/>
          <w:numId w:val="2"/>
        </w:numPr>
        <w:tabs>
          <w:tab w:val="left" w:pos="297"/>
        </w:tabs>
        <w:spacing w:before="1"/>
        <w:ind w:right="454"/>
        <w:jc w:val="left"/>
        <w:rPr>
          <w:sz w:val="16"/>
        </w:rPr>
      </w:pPr>
      <w:r>
        <w:rPr>
          <w:color w:val="231F20"/>
          <w:sz w:val="16"/>
        </w:rPr>
        <w:t xml:space="preserve"> Ponto focal institucional nacional</w:t>
      </w:r>
    </w:p>
    <w:p w:rsidR="00E22D99" w:rsidRDefault="00E22D99" w:rsidP="00472EC7">
      <w:pPr>
        <w:pStyle w:val="Corpsdetexte"/>
        <w:spacing w:before="5"/>
        <w:ind w:right="454"/>
        <w:rPr>
          <w:sz w:val="20"/>
        </w:rPr>
      </w:pPr>
    </w:p>
    <w:p w:rsidR="00E22D99" w:rsidRDefault="0030021D" w:rsidP="00472EC7">
      <w:pPr>
        <w:pStyle w:val="Corpsdetexte"/>
        <w:spacing w:before="1" w:line="273" w:lineRule="auto"/>
        <w:ind w:left="108" w:right="454"/>
      </w:pPr>
      <w:r>
        <w:rPr>
          <w:color w:val="231F20"/>
        </w:rPr>
        <w:t>Este é outro ingrediente essencial para a responsabilidade nacional pelas PDI e a coordenação no âmbito do governo e com os parceiros locais e internacionais. Quer situado numa agência nova, quer atual, é essencial que o ponto focal institucional nacional para as deslocações internas tenha um</w:t>
      </w:r>
    </w:p>
    <w:p w:rsidR="00E22D99" w:rsidRDefault="00E22D99">
      <w:pPr>
        <w:spacing w:line="273" w:lineRule="auto"/>
        <w:sectPr w:rsidR="00E22D99">
          <w:type w:val="continuous"/>
          <w:pgSz w:w="12030" w:h="16780"/>
          <w:pgMar w:top="60" w:right="180" w:bottom="280" w:left="220" w:header="720" w:footer="720" w:gutter="0"/>
          <w:cols w:num="4" w:space="720" w:equalWidth="0">
            <w:col w:w="1088" w:space="40"/>
            <w:col w:w="3012" w:space="203"/>
            <w:col w:w="3052" w:space="197"/>
            <w:col w:w="4038"/>
          </w:cols>
        </w:sectPr>
      </w:pPr>
    </w:p>
    <w:p w:rsidR="00E22D99" w:rsidRDefault="003E66A3">
      <w:pPr>
        <w:pStyle w:val="Titre1"/>
        <w:tabs>
          <w:tab w:val="left" w:pos="5655"/>
          <w:tab w:val="left" w:pos="10577"/>
        </w:tabs>
        <w:spacing w:before="91"/>
        <w:ind w:left="973"/>
      </w:pPr>
      <w:r>
        <w:lastRenderedPageBreak/>
        <w:pict>
          <v:line id="_x0000_s1032" style="position:absolute;left:0;text-align:left;z-index:15730688;mso-position-horizontal-relative:page" from="59.7pt,20.55pt" to="529.55pt,20.55pt" strokecolor="#231f20">
            <w10:wrap anchorx="page"/>
          </v:line>
        </w:pict>
      </w:r>
      <w:r w:rsidR="0030021D">
        <w:rPr>
          <w:rFonts w:ascii="Calibri"/>
          <w:b w:val="0"/>
          <w:color w:val="231F20"/>
        </w:rPr>
        <w:t xml:space="preserve">FMR </w:t>
      </w:r>
      <w:r w:rsidR="0030021D">
        <w:rPr>
          <w:color w:val="231F20"/>
        </w:rPr>
        <w:t>Suplemento sobre as PDI Responsabilidade nacional e deslocação interna</w:t>
      </w:r>
      <w:r w:rsidR="0030021D">
        <w:rPr>
          <w:color w:val="231F20"/>
        </w:rPr>
        <w:tab/>
      </w:r>
      <w:r w:rsidR="0030021D">
        <w:rPr>
          <w:color w:val="231F20"/>
          <w:shd w:val="clear" w:color="auto" w:fill="BCBEC0"/>
        </w:rPr>
        <w:t>13</w:t>
      </w:r>
    </w:p>
    <w:p w:rsidR="00E22D99" w:rsidRDefault="00E22D99">
      <w:pPr>
        <w:sectPr w:rsidR="00E22D99">
          <w:pgSz w:w="12030" w:h="16780"/>
          <w:pgMar w:top="740" w:right="180" w:bottom="0" w:left="220" w:header="720" w:footer="720" w:gutter="0"/>
          <w:cols w:space="720"/>
        </w:sectPr>
      </w:pPr>
    </w:p>
    <w:p w:rsidR="00E22D99" w:rsidRDefault="00E22D99">
      <w:pPr>
        <w:pStyle w:val="Corpsdetexte"/>
        <w:spacing w:before="4"/>
        <w:rPr>
          <w:rFonts w:ascii="Gill Sans MT"/>
          <w:b/>
          <w:sz w:val="14"/>
        </w:rPr>
      </w:pPr>
    </w:p>
    <w:p w:rsidR="00E22D99" w:rsidRDefault="0030021D" w:rsidP="005715CD">
      <w:pPr>
        <w:pStyle w:val="Corpsdetexte"/>
        <w:spacing w:line="271" w:lineRule="auto"/>
        <w:ind w:left="973" w:right="-340"/>
      </w:pPr>
      <w:r>
        <w:rPr>
          <w:color w:val="231F20"/>
        </w:rPr>
        <w:t>mandato, tanto para a proteção, como para a assistência. A sua equipa deve estar familiarizada com a temática das deslocações internas, sobretudo com os Princípios Orientadores e espera-se que desempenhe um papel de destaque nos esforços nacionais para verificar se os direitos das PDI são respeitados e as suas necessidades são satisfeitas. Este organismo necessitará de autoridade política, bem como de recursos adequados ao cumprimento do seu mandato.</w:t>
      </w:r>
    </w:p>
    <w:p w:rsidR="00E22D99" w:rsidRDefault="00E22D99" w:rsidP="005715CD">
      <w:pPr>
        <w:pStyle w:val="Corpsdetexte"/>
        <w:spacing w:before="1"/>
        <w:ind w:right="-340"/>
        <w:rPr>
          <w:sz w:val="18"/>
        </w:rPr>
      </w:pPr>
    </w:p>
    <w:p w:rsidR="00E22D99" w:rsidRDefault="0030021D" w:rsidP="005715CD">
      <w:pPr>
        <w:pStyle w:val="Paragraphedeliste"/>
        <w:numPr>
          <w:ilvl w:val="0"/>
          <w:numId w:val="2"/>
        </w:numPr>
        <w:tabs>
          <w:tab w:val="left" w:pos="1162"/>
        </w:tabs>
        <w:spacing w:before="1" w:line="271" w:lineRule="auto"/>
        <w:ind w:left="1173" w:right="-340" w:hanging="200"/>
        <w:jc w:val="left"/>
        <w:rPr>
          <w:sz w:val="16"/>
        </w:rPr>
      </w:pPr>
      <w:r>
        <w:rPr>
          <w:color w:val="231F20"/>
          <w:sz w:val="16"/>
        </w:rPr>
        <w:t xml:space="preserve"> Papel para as instituições nacionais de direitos humanos</w:t>
      </w:r>
    </w:p>
    <w:p w:rsidR="00E22D99" w:rsidRDefault="0030021D" w:rsidP="005715CD">
      <w:pPr>
        <w:pStyle w:val="Corpsdetexte"/>
        <w:spacing w:before="160" w:line="271" w:lineRule="auto"/>
        <w:ind w:left="973" w:right="-340"/>
      </w:pPr>
      <w:r>
        <w:rPr>
          <w:color w:val="231F20"/>
        </w:rPr>
        <w:t>As instituições nacionais de direitos humanos podem ajudar a reforçar a responsabilidade nacional, ao: investigar denúncias de violações e trabalhar para assegurar uma resposta eficaz por parte das autoridades; ministrar programas de sensibilização e formação para os direitos das PDI; aconselhar sobre o desenvolvimento de leis e políticas nacionais sobre as deslocações internas; e monitorizar e apresentar relatórios sobre a sua implementação.</w:t>
      </w:r>
    </w:p>
    <w:p w:rsidR="00E22D99" w:rsidRDefault="0030021D" w:rsidP="005715CD">
      <w:pPr>
        <w:pStyle w:val="Corpsdetexte"/>
        <w:spacing w:line="271" w:lineRule="auto"/>
        <w:ind w:left="973" w:right="-340"/>
      </w:pPr>
      <w:r>
        <w:rPr>
          <w:color w:val="231F20"/>
        </w:rPr>
        <w:t>Os governos têm de reconhecer as deslocações internas como um problema de direitos humanos e apoiar, tanto política, como financeiramente, os esforços das instituições nacionais de direitos humanos para o resolver. Cada vez mais instituições nacionais de direitos humanos estão a começar a concentrar-se nesta questão, mas muitas vezes precisam de apoio. Para tal, o Fórum Ásia-Pacífico das Instituições Nacionais de Direitos Humanos</w:t>
      </w:r>
      <w:r>
        <w:rPr>
          <w:color w:val="231F20"/>
          <w:vertAlign w:val="superscript"/>
        </w:rPr>
        <w:t>3</w:t>
      </w:r>
      <w:r>
        <w:rPr>
          <w:color w:val="231F20"/>
        </w:rPr>
        <w:t xml:space="preserve"> está a trabalhar para avaliar a capacidade dos membros e dar assistência em questões ligadas às PDI.</w:t>
      </w:r>
    </w:p>
    <w:p w:rsidR="00E22D99" w:rsidRDefault="00E22D99" w:rsidP="005715CD">
      <w:pPr>
        <w:pStyle w:val="Corpsdetexte"/>
        <w:spacing w:before="2"/>
        <w:ind w:right="-340"/>
        <w:rPr>
          <w:sz w:val="18"/>
        </w:rPr>
      </w:pPr>
    </w:p>
    <w:p w:rsidR="00E22D99" w:rsidRDefault="0030021D" w:rsidP="005715CD">
      <w:pPr>
        <w:pStyle w:val="Paragraphedeliste"/>
        <w:numPr>
          <w:ilvl w:val="0"/>
          <w:numId w:val="2"/>
        </w:numPr>
        <w:tabs>
          <w:tab w:val="left" w:pos="1162"/>
        </w:tabs>
        <w:spacing w:line="271" w:lineRule="auto"/>
        <w:ind w:left="1168" w:right="-340" w:hanging="195"/>
        <w:jc w:val="left"/>
        <w:rPr>
          <w:sz w:val="16"/>
        </w:rPr>
      </w:pPr>
      <w:r>
        <w:rPr>
          <w:color w:val="231F20"/>
          <w:sz w:val="16"/>
        </w:rPr>
        <w:t xml:space="preserve"> Participação das PDI na tomada de decisões</w:t>
      </w:r>
    </w:p>
    <w:p w:rsidR="00E22D99" w:rsidRDefault="0030021D" w:rsidP="005715CD">
      <w:pPr>
        <w:pStyle w:val="Corpsdetexte"/>
        <w:spacing w:before="141" w:line="271" w:lineRule="auto"/>
        <w:ind w:left="973" w:right="-340"/>
        <w:jc w:val="both"/>
      </w:pPr>
      <w:r>
        <w:rPr>
          <w:color w:val="231F20"/>
        </w:rPr>
        <w:t>Envolver os deslocados e contar com as suas competências é essencial para a eficácia das respostas. Conforme</w:t>
      </w:r>
    </w:p>
    <w:p w:rsidR="00E22D99" w:rsidRDefault="00936E07" w:rsidP="005715CD">
      <w:pPr>
        <w:pStyle w:val="Corpsdetexte"/>
        <w:spacing w:before="1"/>
        <w:ind w:right="-340"/>
        <w:rPr>
          <w:sz w:val="14"/>
        </w:rPr>
      </w:pPr>
      <w:r>
        <w:rPr>
          <w:noProof/>
        </w:rPr>
        <w:drawing>
          <wp:anchor distT="0" distB="0" distL="0" distR="0" simplePos="0" relativeHeight="487440384" behindDoc="1" locked="0" layoutInCell="1" allowOverlap="1">
            <wp:simplePos x="0" y="0"/>
            <wp:positionH relativeFrom="page">
              <wp:posOffset>42530</wp:posOffset>
            </wp:positionH>
            <wp:positionV relativeFrom="paragraph">
              <wp:posOffset>11327</wp:posOffset>
            </wp:positionV>
            <wp:extent cx="4607485" cy="3243018"/>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6" cstate="print"/>
                    <a:stretch>
                      <a:fillRect/>
                    </a:stretch>
                  </pic:blipFill>
                  <pic:spPr>
                    <a:xfrm>
                      <a:off x="0" y="0"/>
                      <a:ext cx="4609725" cy="3244595"/>
                    </a:xfrm>
                    <a:prstGeom prst="rect">
                      <a:avLst/>
                    </a:prstGeom>
                  </pic:spPr>
                </pic:pic>
              </a:graphicData>
            </a:graphic>
            <wp14:sizeRelV relativeFrom="margin">
              <wp14:pctHeight>0</wp14:pctHeight>
            </wp14:sizeRelV>
          </wp:anchor>
        </w:drawing>
      </w:r>
      <w:r w:rsidR="0030021D">
        <w:br w:type="column"/>
      </w:r>
    </w:p>
    <w:p w:rsidR="00E22D99" w:rsidRDefault="0030021D" w:rsidP="005715CD">
      <w:pPr>
        <w:pStyle w:val="Corpsdetexte"/>
        <w:spacing w:line="271" w:lineRule="auto"/>
        <w:ind w:left="305" w:right="-340"/>
      </w:pPr>
      <w:r>
        <w:rPr>
          <w:color w:val="231F20"/>
        </w:rPr>
        <w:t>definido nos Princípios Orientadores, os governos têm a responsabilidade de consultar as PDI, por exemplo, nas decisões de recolocação e na conceção e distribuição da ajuda humanitária. Devem ser envidados esforços especiais para assegurar a total participação das mulheres para minimizar a sua vulnerabilidade à extorsão e exploração sexual para a obtenção de rações alimentares, bem como os riscos de violência sexual que podem ser exacerbados pela má conceção dos campos. Além disso, no que toca a encontrar soluções duradouras para a deslocação, a consulta aos deslocados é uma componente fundamental para assegurar que o seu regresso ou reinstalação é voluntário. A formação de associações de PDIs, como o</w:t>
      </w:r>
    </w:p>
    <w:p w:rsidR="00E22D99" w:rsidRDefault="0030021D" w:rsidP="005715CD">
      <w:pPr>
        <w:pStyle w:val="Corpsdetexte"/>
        <w:spacing w:before="2" w:line="271" w:lineRule="auto"/>
        <w:ind w:left="305" w:right="-340"/>
      </w:pPr>
      <w:r>
        <w:rPr>
          <w:color w:val="231F20"/>
        </w:rPr>
        <w:t>Conselho de Pessoas Deslocadas estabelecido no Afeganistão em 2003, deve ser incentivado e apoiado.</w:t>
      </w:r>
    </w:p>
    <w:p w:rsidR="00E22D99" w:rsidRDefault="00E22D99" w:rsidP="005715CD">
      <w:pPr>
        <w:pStyle w:val="Corpsdetexte"/>
        <w:spacing w:before="1"/>
        <w:ind w:right="-340"/>
        <w:rPr>
          <w:sz w:val="18"/>
        </w:rPr>
      </w:pPr>
    </w:p>
    <w:p w:rsidR="00E22D99" w:rsidRDefault="0030021D" w:rsidP="005715CD">
      <w:pPr>
        <w:pStyle w:val="Paragraphedeliste"/>
        <w:numPr>
          <w:ilvl w:val="0"/>
          <w:numId w:val="2"/>
        </w:numPr>
        <w:tabs>
          <w:tab w:val="left" w:pos="591"/>
        </w:tabs>
        <w:ind w:left="590" w:right="-340" w:hanging="286"/>
        <w:jc w:val="left"/>
        <w:rPr>
          <w:sz w:val="16"/>
        </w:rPr>
      </w:pPr>
      <w:r>
        <w:rPr>
          <w:color w:val="231F20"/>
          <w:sz w:val="16"/>
        </w:rPr>
        <w:t xml:space="preserve"> Apoiar soluções duradouras</w:t>
      </w:r>
    </w:p>
    <w:p w:rsidR="00E22D99" w:rsidRDefault="00E22D99" w:rsidP="005715CD">
      <w:pPr>
        <w:pStyle w:val="Corpsdetexte"/>
        <w:spacing w:before="2"/>
        <w:ind w:right="-340"/>
        <w:rPr>
          <w:sz w:val="20"/>
        </w:rPr>
      </w:pPr>
    </w:p>
    <w:p w:rsidR="00E22D99" w:rsidRDefault="0030021D" w:rsidP="005715CD">
      <w:pPr>
        <w:pStyle w:val="Corpsdetexte"/>
        <w:spacing w:line="271" w:lineRule="auto"/>
        <w:ind w:left="305" w:right="-340"/>
      </w:pPr>
      <w:r>
        <w:rPr>
          <w:color w:val="231F20"/>
        </w:rPr>
        <w:t>A responsabilidade nacional inclui assegurar uma solução duradoura para as PDI. Os governos têm o dever de estabelecer condições para permitir que as PDI regressem voluntariamente, com segurança e dignidade, aos seus locais de residência habitual ou, se preferirem,</w:t>
      </w:r>
    </w:p>
    <w:p w:rsidR="00E22D99" w:rsidRDefault="0030021D" w:rsidP="005715CD">
      <w:pPr>
        <w:pStyle w:val="Corpsdetexte"/>
        <w:spacing w:line="271" w:lineRule="auto"/>
        <w:ind w:left="305" w:right="-340"/>
      </w:pPr>
      <w:r>
        <w:rPr>
          <w:color w:val="231F20"/>
        </w:rPr>
        <w:t>reestabelecer-se noutra zona do país. Em quaisquer circunstâncias, as PDI não devem ser incentivadas ou obrigadas a regressar ou reestabelecer-se em áreas onde a sua vida, segurança, liberdade ou saúde possam estar em risco. Sempre que possível, os monitores devem acompanhar os regressos para verificar se o processo é voluntário e ocorre em condições de segurança.</w:t>
      </w:r>
    </w:p>
    <w:p w:rsidR="00E22D99" w:rsidRDefault="0030021D" w:rsidP="005715CD">
      <w:pPr>
        <w:pStyle w:val="Corpsdetexte"/>
        <w:spacing w:before="1" w:line="271" w:lineRule="auto"/>
        <w:ind w:left="305" w:right="-340"/>
      </w:pPr>
      <w:r>
        <w:rPr>
          <w:color w:val="231F20"/>
        </w:rPr>
        <w:t>Além disso, as autoridades têm a responsabilidade de ajudar as PDI a</w:t>
      </w:r>
    </w:p>
    <w:p w:rsidR="00E22D99" w:rsidRDefault="0030021D" w:rsidP="005715CD">
      <w:pPr>
        <w:pStyle w:val="Corpsdetexte"/>
        <w:spacing w:line="271" w:lineRule="auto"/>
        <w:ind w:left="305" w:right="-340"/>
      </w:pPr>
      <w:r>
        <w:rPr>
          <w:color w:val="231F20"/>
        </w:rPr>
        <w:t>recuperar a sua propriedade e posses e, se isso não for possível, obter compensação ou outra forma de reparação justa. Quer as PDI escolham</w:t>
      </w:r>
    </w:p>
    <w:p w:rsidR="00E22D99" w:rsidRDefault="0030021D" w:rsidP="005715CD">
      <w:pPr>
        <w:pStyle w:val="Corpsdetexte"/>
        <w:spacing w:before="1"/>
        <w:ind w:right="-340"/>
        <w:rPr>
          <w:sz w:val="14"/>
        </w:rPr>
      </w:pPr>
      <w:r>
        <w:br w:type="column"/>
      </w:r>
    </w:p>
    <w:p w:rsidR="00E22D99" w:rsidRDefault="0030021D" w:rsidP="005715CD">
      <w:pPr>
        <w:pStyle w:val="Corpsdetexte"/>
        <w:spacing w:line="273" w:lineRule="auto"/>
        <w:ind w:left="308" w:right="-340"/>
        <w:rPr>
          <w:sz w:val="9"/>
        </w:rPr>
      </w:pPr>
      <w:r>
        <w:rPr>
          <w:color w:val="231F20"/>
        </w:rPr>
        <w:t>regressar ou reinstalar-se, as autoridades nacionais têm também a responsabilidade de facilitar a reintegração e promover condições que lhes permitem reconstruir as suas vidas. Efetivamente, as estratégias para restituir os meios de subsistência e promover a autossuficiência devem ser introduzidas o quanto antes após a deslocação, para evitar criar uma dependência a longo prazo. As PDI também devem usufruir de igualdade no acesso aos serviços públicos, incluindo aos cuidados de saúde e à educação, e serem capazes de participar integral e igualmente em assuntos públicos, incluindo exercer o seu direito ao voto. As decisões sobre o “fim da deslocação” não devem ser tomadas de forma arbitrária, mas com base em critérios objetivos que asseguram o respeito pelos direitos humanos das PDI.</w:t>
      </w:r>
      <w:r>
        <w:rPr>
          <w:color w:val="231F20"/>
          <w:vertAlign w:val="superscript"/>
        </w:rPr>
        <w:t>4</w:t>
      </w:r>
    </w:p>
    <w:p w:rsidR="00E22D99" w:rsidRDefault="00E22D99" w:rsidP="005715CD">
      <w:pPr>
        <w:pStyle w:val="Corpsdetexte"/>
        <w:spacing w:before="7"/>
        <w:ind w:right="-340"/>
        <w:rPr>
          <w:sz w:val="18"/>
        </w:rPr>
      </w:pPr>
    </w:p>
    <w:p w:rsidR="00E22D99" w:rsidRDefault="0030021D" w:rsidP="005715CD">
      <w:pPr>
        <w:pStyle w:val="Paragraphedeliste"/>
        <w:numPr>
          <w:ilvl w:val="0"/>
          <w:numId w:val="2"/>
        </w:numPr>
        <w:tabs>
          <w:tab w:val="left" w:pos="594"/>
        </w:tabs>
        <w:ind w:left="593" w:right="-340" w:hanging="286"/>
        <w:jc w:val="left"/>
        <w:rPr>
          <w:sz w:val="16"/>
        </w:rPr>
      </w:pPr>
      <w:r>
        <w:rPr>
          <w:color w:val="231F20"/>
          <w:sz w:val="16"/>
        </w:rPr>
        <w:t xml:space="preserve"> Afetar recursos adequados</w:t>
      </w:r>
    </w:p>
    <w:p w:rsidR="00E22D99" w:rsidRDefault="00E22D99" w:rsidP="005715CD">
      <w:pPr>
        <w:pStyle w:val="Corpsdetexte"/>
        <w:spacing w:before="6"/>
        <w:ind w:right="-340"/>
        <w:rPr>
          <w:sz w:val="20"/>
        </w:rPr>
      </w:pPr>
    </w:p>
    <w:p w:rsidR="00E22D99" w:rsidRDefault="0030021D" w:rsidP="005715CD">
      <w:pPr>
        <w:pStyle w:val="Corpsdetexte"/>
        <w:spacing w:line="273" w:lineRule="auto"/>
        <w:ind w:left="308" w:right="-340"/>
      </w:pPr>
      <w:r>
        <w:rPr>
          <w:color w:val="231F20"/>
        </w:rPr>
        <w:t>A responsabilidade nacional requer que os governos afetem recursos para responder a situações de deslocação interna. Os governos que não têm capacidade para tal podem, e devem, pedir ajuda à comunidade internacional. Porém, quando um governo tem recursos</w:t>
      </w:r>
    </w:p>
    <w:p w:rsidR="00E22D99" w:rsidRDefault="0030021D" w:rsidP="005715CD">
      <w:pPr>
        <w:pStyle w:val="Corpsdetexte"/>
        <w:spacing w:before="1" w:line="273" w:lineRule="auto"/>
        <w:ind w:left="308" w:right="-340"/>
      </w:pPr>
      <w:r>
        <w:rPr>
          <w:color w:val="231F20"/>
        </w:rPr>
        <w:t>ao seu dispor, não é razoável esperar que a comunidade internacional suporte a maior parte dos encargos financeiros. Isto foi, durante anos, uma das maiores queixas dos doadores no caso de Angola, que é rica em recursos. A indicação de um governo, através das dotações orçamentais que forem possíveis, de que a questão das deslocações internas constitui uma</w:t>
      </w:r>
    </w:p>
    <w:p w:rsidR="00E22D99" w:rsidRDefault="0030021D" w:rsidP="005715CD">
      <w:pPr>
        <w:pStyle w:val="Corpsdetexte"/>
        <w:spacing w:before="2" w:line="273" w:lineRule="auto"/>
        <w:ind w:left="308" w:right="-340"/>
      </w:pPr>
      <w:r>
        <w:rPr>
          <w:color w:val="231F20"/>
        </w:rPr>
        <w:t>prioridade nacional pode ajudar a obter os compromissos financeiros internacionais para apoiar os esforços nacionais.</w:t>
      </w:r>
    </w:p>
    <w:p w:rsidR="00E22D99" w:rsidRDefault="00E22D99" w:rsidP="005715CD">
      <w:pPr>
        <w:pStyle w:val="Corpsdetexte"/>
        <w:spacing w:before="3"/>
        <w:ind w:right="-340"/>
        <w:rPr>
          <w:sz w:val="18"/>
        </w:rPr>
      </w:pPr>
    </w:p>
    <w:p w:rsidR="00E22D99" w:rsidRDefault="0030021D" w:rsidP="005715CD">
      <w:pPr>
        <w:pStyle w:val="Paragraphedeliste"/>
        <w:numPr>
          <w:ilvl w:val="0"/>
          <w:numId w:val="2"/>
        </w:numPr>
        <w:tabs>
          <w:tab w:val="left" w:pos="594"/>
        </w:tabs>
        <w:spacing w:before="1" w:line="273" w:lineRule="auto"/>
        <w:ind w:left="608" w:right="-340" w:hanging="300"/>
        <w:jc w:val="left"/>
        <w:rPr>
          <w:sz w:val="16"/>
        </w:rPr>
      </w:pPr>
      <w:r>
        <w:rPr>
          <w:color w:val="231F20"/>
          <w:sz w:val="16"/>
        </w:rPr>
        <w:t xml:space="preserve"> Cooperação com organizações regionais e internacionais</w:t>
      </w:r>
    </w:p>
    <w:p w:rsidR="00E22D99" w:rsidRDefault="00E22D99" w:rsidP="005715CD">
      <w:pPr>
        <w:pStyle w:val="Corpsdetexte"/>
        <w:spacing w:before="3"/>
        <w:ind w:right="-340"/>
        <w:rPr>
          <w:sz w:val="18"/>
        </w:rPr>
      </w:pPr>
    </w:p>
    <w:p w:rsidR="00E22D99" w:rsidRDefault="003E66A3" w:rsidP="005715CD">
      <w:pPr>
        <w:pStyle w:val="Corpsdetexte"/>
        <w:spacing w:line="273" w:lineRule="auto"/>
        <w:ind w:left="308" w:right="-340"/>
      </w:pPr>
      <w:r>
        <w:pict>
          <v:shape id="_x0000_s1031" type="#_x0000_t202" style="position:absolute;left:0;text-align:left;margin-left:7.15pt;margin-top:250.15pt;width:8.55pt;height:12.55pt;z-index:15731712;mso-position-horizontal-relative:page" filled="f" stroked="f">
            <v:textbox style="layout-flow:vertical;mso-layout-flow-alt:bottom-to-top;mso-next-textbox:#_x0000_s1031" inset="0,0,0,0">
              <w:txbxContent>
                <w:p w:rsidR="00E22D99" w:rsidRDefault="0030021D">
                  <w:pPr>
                    <w:spacing w:before="8"/>
                    <w:ind w:left="20"/>
                    <w:rPr>
                      <w:rFonts w:ascii="Calibri"/>
                      <w:sz w:val="12"/>
                    </w:rPr>
                  </w:pPr>
                  <w:r>
                    <w:rPr>
                      <w:rFonts w:ascii="Calibri"/>
                      <w:color w:val="FFFFFF"/>
                      <w:sz w:val="12"/>
                    </w:rPr>
                    <w:t>IRIN</w:t>
                  </w:r>
                </w:p>
              </w:txbxContent>
            </v:textbox>
            <w10:wrap anchorx="page"/>
          </v:shape>
        </w:pict>
      </w:r>
      <w:r w:rsidR="0030021D">
        <w:rPr>
          <w:color w:val="231F20"/>
        </w:rPr>
        <w:t>Quando os governos não têm capacidade nacional suficiente, a responsabilidade requer que seja dado acesso seguro e desimpedido à assistência internacional. Convidar o Representante do Secretário-Geral da ONU para os Direitos Humanos das Pessoas Deslocadas Internamente a visitar e dialogar com as autoridades nacionais, a sociedade civil e as PDI seria um indicador. Por sua vez, as organizações regionais e internacionais devem estar preparadas para apoiar os governos, demonstrando prontidão para cumprirem as suas responsabilidades nacionais em situações de deslocação interna. As formas como podem fazê-lo incluem: dar assistência técnica em questões como o registo e desenvolvimento de leis e políticas nacionais; ministrar formação sobre os Princípios Orientadores; ajudar as PDI a</w:t>
      </w:r>
    </w:p>
    <w:p w:rsidR="00E22D99" w:rsidRDefault="00E22D99" w:rsidP="006B1B4C">
      <w:pPr>
        <w:pStyle w:val="Corpsdetexte"/>
      </w:pPr>
      <w:bookmarkStart w:id="0" w:name="_GoBack"/>
      <w:bookmarkEnd w:id="0"/>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E22D99" w:rsidP="006B1B4C">
      <w:pPr>
        <w:pStyle w:val="Corpsdetexte"/>
      </w:pPr>
    </w:p>
    <w:p w:rsidR="00E22D99" w:rsidRDefault="0030021D" w:rsidP="006B1B4C">
      <w:pPr>
        <w:spacing w:before="123"/>
        <w:rPr>
          <w:rFonts w:ascii="Book Antiqua"/>
          <w:i/>
          <w:sz w:val="14"/>
        </w:rPr>
      </w:pPr>
      <w:r>
        <w:rPr>
          <w:rFonts w:ascii="Book Antiqua"/>
          <w:i/>
          <w:color w:val="231F20"/>
          <w:sz w:val="14"/>
        </w:rPr>
        <w:t>Campo de PDIs, Angola.</w:t>
      </w:r>
    </w:p>
    <w:p w:rsidR="00E22D99" w:rsidRDefault="00E22D99">
      <w:pPr>
        <w:rPr>
          <w:rFonts w:ascii="Book Antiqua"/>
          <w:sz w:val="14"/>
        </w:rPr>
        <w:sectPr w:rsidR="00E22D99">
          <w:type w:val="continuous"/>
          <w:pgSz w:w="12030" w:h="16780"/>
          <w:pgMar w:top="60" w:right="180" w:bottom="280" w:left="220" w:header="720" w:footer="720" w:gutter="0"/>
          <w:cols w:num="4" w:space="720" w:equalWidth="0">
            <w:col w:w="3867" w:space="40"/>
            <w:col w:w="3196" w:space="39"/>
            <w:col w:w="3207" w:space="39"/>
            <w:col w:w="1242"/>
          </w:cols>
        </w:sectPr>
      </w:pPr>
    </w:p>
    <w:p w:rsidR="00E22D99" w:rsidRDefault="0030021D">
      <w:pPr>
        <w:pStyle w:val="Titre1"/>
        <w:tabs>
          <w:tab w:val="left" w:pos="1200"/>
          <w:tab w:val="left" w:pos="8543"/>
        </w:tabs>
        <w:spacing w:before="80" w:after="23"/>
      </w:pPr>
      <w:r>
        <w:rPr>
          <w:color w:val="231F20"/>
          <w:shd w:val="clear" w:color="auto" w:fill="BCBEC0"/>
        </w:rPr>
        <w:lastRenderedPageBreak/>
        <w:t>14</w:t>
      </w:r>
      <w:r>
        <w:rPr>
          <w:color w:val="231F20"/>
        </w:rPr>
        <w:tab/>
        <w:t>Responsabilidade nacional e deslocação interna</w:t>
      </w:r>
      <w:r>
        <w:rPr>
          <w:color w:val="231F20"/>
        </w:rPr>
        <w:tab/>
      </w:r>
      <w:r>
        <w:rPr>
          <w:rFonts w:ascii="Calibri"/>
          <w:b w:val="0"/>
          <w:color w:val="231F20"/>
        </w:rPr>
        <w:t xml:space="preserve">FMR </w:t>
      </w:r>
      <w:r>
        <w:rPr>
          <w:color w:val="231F20"/>
        </w:rPr>
        <w:t>Suplemento sobre as PDI</w:t>
      </w:r>
    </w:p>
    <w:p w:rsidR="00E22D99" w:rsidRDefault="003E66A3">
      <w:pPr>
        <w:pStyle w:val="Corpsdetexte"/>
        <w:spacing w:line="20" w:lineRule="exact"/>
        <w:ind w:left="1214"/>
        <w:rPr>
          <w:rFonts w:ascii="Gill Sans MT"/>
          <w:sz w:val="2"/>
        </w:rPr>
      </w:pPr>
      <w:r>
        <w:rPr>
          <w:rFonts w:ascii="Gill Sans MT"/>
          <w:sz w:val="2"/>
        </w:rPr>
      </w:r>
      <w:r>
        <w:rPr>
          <w:rFonts w:ascii="Gill Sans MT"/>
          <w:sz w:val="2"/>
        </w:rPr>
        <w:pict>
          <v:group id="_x0000_s1029" style="width:469.85pt;height:.75pt;mso-position-horizontal-relative:char;mso-position-vertical-relative:line" coordsize="9397,15">
            <v:rect id="_x0000_s1030" style="position:absolute;width:9397;height:15" fillcolor="#231f20" stroked="f"/>
            <w10:wrap type="none"/>
            <w10:anchorlock/>
          </v:group>
        </w:pict>
      </w:r>
    </w:p>
    <w:p w:rsidR="00E22D99" w:rsidRDefault="00E22D99">
      <w:pPr>
        <w:pStyle w:val="Corpsdetexte"/>
        <w:rPr>
          <w:rFonts w:ascii="Gill Sans MT"/>
          <w:b/>
          <w:sz w:val="6"/>
        </w:rPr>
      </w:pPr>
    </w:p>
    <w:p w:rsidR="00E22D99" w:rsidRDefault="00E22D99">
      <w:pPr>
        <w:rPr>
          <w:rFonts w:ascii="Gill Sans MT"/>
          <w:sz w:val="6"/>
        </w:rPr>
        <w:sectPr w:rsidR="00E22D99">
          <w:pgSz w:w="12030" w:h="16780"/>
          <w:pgMar w:top="700" w:right="180" w:bottom="280" w:left="220" w:header="720" w:footer="720" w:gutter="0"/>
          <w:cols w:space="720"/>
        </w:sectPr>
      </w:pPr>
    </w:p>
    <w:p w:rsidR="00E22D99" w:rsidRDefault="0030021D" w:rsidP="006A426B">
      <w:pPr>
        <w:pStyle w:val="Corpsdetexte"/>
        <w:spacing w:before="100" w:line="273" w:lineRule="auto"/>
        <w:ind w:left="567" w:right="113"/>
      </w:pPr>
      <w:r>
        <w:rPr>
          <w:color w:val="231F20"/>
        </w:rPr>
        <w:t>obter documentação de substituição; estabelecer uma presença de monitorização nas áreas onde a segurança física das PDI está em risco; e acompanhar os regressos das PDI, certificando-se de que o processo é voluntário e as condições são seguras nas áreas de origem das PDI. De um modo geral, o objetivo dos esforços regionais e internacionais não deve ser substituir os esforços nacionais, mas sim reforçar a responsabilidade nacional de proteger e ajudar os deslocados internos.</w:t>
      </w:r>
    </w:p>
    <w:p w:rsidR="00E22D99" w:rsidRDefault="00E22D99" w:rsidP="006A426B">
      <w:pPr>
        <w:pStyle w:val="Corpsdetexte"/>
        <w:spacing w:before="11"/>
        <w:ind w:left="567" w:right="113"/>
        <w:rPr>
          <w:sz w:val="17"/>
        </w:rPr>
      </w:pPr>
    </w:p>
    <w:p w:rsidR="00E22D99" w:rsidRDefault="0030021D" w:rsidP="006A426B">
      <w:pPr>
        <w:pStyle w:val="Titre1"/>
        <w:spacing w:line="247" w:lineRule="auto"/>
        <w:ind w:left="567" w:right="113"/>
      </w:pPr>
      <w:r>
        <w:rPr>
          <w:color w:val="231F20"/>
        </w:rPr>
        <w:t>Características essenciais de uma resposta nacional</w:t>
      </w:r>
    </w:p>
    <w:p w:rsidR="00E22D99" w:rsidRDefault="0030021D" w:rsidP="006A426B">
      <w:pPr>
        <w:pStyle w:val="Corpsdetexte"/>
        <w:spacing w:before="169" w:line="273" w:lineRule="auto"/>
        <w:ind w:left="567" w:right="113"/>
      </w:pPr>
      <w:r>
        <w:rPr>
          <w:color w:val="231F20"/>
        </w:rPr>
        <w:t>Para ser verdadeiramente nacional, a resposta de um governo deve ser inclusiva e não discriminatória. Deve englobar:</w:t>
      </w:r>
    </w:p>
    <w:p w:rsidR="00E22D99" w:rsidRDefault="0030021D" w:rsidP="006A426B">
      <w:pPr>
        <w:pStyle w:val="Paragraphedeliste"/>
        <w:numPr>
          <w:ilvl w:val="1"/>
          <w:numId w:val="2"/>
        </w:numPr>
        <w:tabs>
          <w:tab w:val="left" w:pos="1353"/>
        </w:tabs>
        <w:spacing w:line="273" w:lineRule="auto"/>
        <w:ind w:left="567" w:right="113" w:hanging="200"/>
        <w:rPr>
          <w:sz w:val="16"/>
        </w:rPr>
      </w:pPr>
      <w:r>
        <w:rPr>
          <w:b/>
          <w:color w:val="231F20"/>
          <w:sz w:val="16"/>
        </w:rPr>
        <w:t xml:space="preserve">Todas as causas: </w:t>
      </w:r>
      <w:r>
        <w:rPr>
          <w:color w:val="231F20"/>
          <w:sz w:val="16"/>
        </w:rPr>
        <w:t>incluindo as pessoas desenraizadas por conflitos, distúrbios comunitários e violações graves dos direitos humanos, bem como as desenraizadas como resultado de catástrofes naturais e de origem humana, projetos de desenvolvimento e outras causas.</w:t>
      </w:r>
    </w:p>
    <w:p w:rsidR="00E22D99" w:rsidRDefault="0030021D" w:rsidP="006A426B">
      <w:pPr>
        <w:pStyle w:val="Paragraphedeliste"/>
        <w:numPr>
          <w:ilvl w:val="1"/>
          <w:numId w:val="2"/>
        </w:numPr>
        <w:tabs>
          <w:tab w:val="left" w:pos="1353"/>
        </w:tabs>
        <w:spacing w:line="273" w:lineRule="auto"/>
        <w:ind w:left="567" w:right="113" w:hanging="200"/>
        <w:rPr>
          <w:sz w:val="16"/>
        </w:rPr>
      </w:pPr>
      <w:r>
        <w:rPr>
          <w:b/>
          <w:color w:val="231F20"/>
          <w:sz w:val="16"/>
        </w:rPr>
        <w:t xml:space="preserve">Todos os grupos: </w:t>
      </w:r>
      <w:r>
        <w:rPr>
          <w:color w:val="231F20"/>
          <w:sz w:val="16"/>
        </w:rPr>
        <w:t>as autoridades nacionais têm a responsabilidade de assegurar que as preocupações especiais de proteção e assistência a grupos específicos dentro das populações de PDI, incluindo mulheres que são chefes de família, menores não acompanhados, portadores de incapacidade, idosos, indígenas e minorias étnicas, são atendidas.</w:t>
      </w:r>
    </w:p>
    <w:p w:rsidR="00E22D99" w:rsidRDefault="0030021D" w:rsidP="006A426B">
      <w:pPr>
        <w:pStyle w:val="Paragraphedeliste"/>
        <w:numPr>
          <w:ilvl w:val="1"/>
          <w:numId w:val="2"/>
        </w:numPr>
        <w:tabs>
          <w:tab w:val="left" w:pos="1353"/>
        </w:tabs>
        <w:spacing w:line="273" w:lineRule="auto"/>
        <w:ind w:left="567" w:right="113" w:hanging="200"/>
        <w:rPr>
          <w:sz w:val="16"/>
        </w:rPr>
      </w:pPr>
      <w:r>
        <w:rPr>
          <w:b/>
          <w:color w:val="231F20"/>
          <w:sz w:val="16"/>
        </w:rPr>
        <w:t xml:space="preserve">Todas as necessidades: </w:t>
      </w:r>
      <w:r>
        <w:rPr>
          <w:color w:val="231F20"/>
          <w:sz w:val="16"/>
        </w:rPr>
        <w:t>uma resposta nacional requer uma abordagem integrada que atende à proteção, bem como às preocupações de assistência. Isto é verdade, mesmo em situações de catástrofes naturais quando, embora a ajuda material possa ser a necessidade mais visível, outros problemas graves de proteção podem surgir, como se tornou</w:t>
      </w:r>
    </w:p>
    <w:p w:rsidR="00E22D99" w:rsidRDefault="0030021D" w:rsidP="006A426B">
      <w:pPr>
        <w:pStyle w:val="Corpsdetexte"/>
        <w:spacing w:before="2" w:line="273" w:lineRule="auto"/>
        <w:ind w:left="567" w:right="113"/>
        <w:rPr>
          <w:sz w:val="9"/>
        </w:rPr>
      </w:pPr>
      <w:r>
        <w:rPr>
          <w:color w:val="231F20"/>
        </w:rPr>
        <w:t>evidente após o tsunami de dezembro de 2004.</w:t>
      </w:r>
      <w:r>
        <w:rPr>
          <w:color w:val="231F20"/>
          <w:vertAlign w:val="superscript"/>
        </w:rPr>
        <w:t>5</w:t>
      </w:r>
    </w:p>
    <w:p w:rsidR="00E22D99" w:rsidRDefault="0030021D" w:rsidP="006A426B">
      <w:pPr>
        <w:pStyle w:val="Paragraphedeliste"/>
        <w:numPr>
          <w:ilvl w:val="1"/>
          <w:numId w:val="2"/>
        </w:numPr>
        <w:tabs>
          <w:tab w:val="left" w:pos="1353"/>
        </w:tabs>
        <w:spacing w:line="273" w:lineRule="auto"/>
        <w:ind w:left="567" w:right="113" w:hanging="200"/>
        <w:rPr>
          <w:sz w:val="16"/>
        </w:rPr>
      </w:pPr>
      <w:r>
        <w:rPr>
          <w:b/>
          <w:color w:val="231F20"/>
          <w:sz w:val="16"/>
        </w:rPr>
        <w:t xml:space="preserve">Todas as fases: </w:t>
      </w:r>
      <w:r>
        <w:rPr>
          <w:color w:val="231F20"/>
          <w:sz w:val="16"/>
        </w:rPr>
        <w:t>a responsabilidade nacional estende-se a todas as fases da deslocação. Inclui evitar a deslocação arbitrária, garantir a segurança e o bem-estar das pessoas assim que são deslocadas e criar condições para soluções duradouras para a sua situação, nomeadamente através do regresso voluntário e seguro, ou a recolocação e reintegração.</w:t>
      </w:r>
    </w:p>
    <w:p w:rsidR="00E22D99" w:rsidRDefault="0030021D" w:rsidP="006A426B">
      <w:pPr>
        <w:pStyle w:val="Paragraphedeliste"/>
        <w:numPr>
          <w:ilvl w:val="1"/>
          <w:numId w:val="2"/>
        </w:numPr>
        <w:tabs>
          <w:tab w:val="left" w:pos="1353"/>
        </w:tabs>
        <w:spacing w:line="273" w:lineRule="auto"/>
        <w:ind w:left="567" w:right="113" w:hanging="200"/>
        <w:rPr>
          <w:sz w:val="16"/>
        </w:rPr>
      </w:pPr>
      <w:r>
        <w:rPr>
          <w:b/>
          <w:color w:val="231F20"/>
          <w:sz w:val="16"/>
        </w:rPr>
        <w:t xml:space="preserve">Todas as autoridades: </w:t>
      </w:r>
      <w:r>
        <w:rPr>
          <w:color w:val="231F20"/>
          <w:sz w:val="16"/>
        </w:rPr>
        <w:t>uma resposta nacional requer os contributos coletivos de todos os ramos relevantes do governo. As autoridades ao</w:t>
      </w:r>
    </w:p>
    <w:p w:rsidR="00E22D99" w:rsidRDefault="0030021D" w:rsidP="006A426B">
      <w:pPr>
        <w:pStyle w:val="Corpsdetexte"/>
        <w:spacing w:before="1" w:line="273" w:lineRule="auto"/>
        <w:ind w:left="567" w:right="113"/>
      </w:pPr>
      <w:r>
        <w:rPr>
          <w:color w:val="231F20"/>
        </w:rPr>
        <w:t>nível local, que têm maior probabilidade de estar em contacto direto com</w:t>
      </w:r>
    </w:p>
    <w:p w:rsidR="00E22D99" w:rsidRDefault="0030021D" w:rsidP="006A426B">
      <w:pPr>
        <w:pStyle w:val="Corpsdetexte"/>
        <w:spacing w:line="273" w:lineRule="auto"/>
        <w:ind w:left="567" w:right="113"/>
        <w:rPr>
          <w:sz w:val="9"/>
        </w:rPr>
      </w:pPr>
      <w:r>
        <w:rPr>
          <w:color w:val="231F20"/>
        </w:rPr>
        <w:t>as populações deslocadas, devem assegurar que a responsabilidade nacional é efetivamente cumprida na prática, não só na política. Os militares e a</w:t>
      </w:r>
      <w:r w:rsidR="00606EDF">
        <w:rPr>
          <w:color w:val="231F20"/>
        </w:rPr>
        <w:t xml:space="preserve"> </w:t>
      </w:r>
      <w:r>
        <w:rPr>
          <w:color w:val="231F20"/>
        </w:rPr>
        <w:t xml:space="preserve">polícia têm responsabilidades específicas de garantir a segurança física das PDI. Os agentes não estatais, incluindo os grupos insurgentes, também têm responsabilidades nos termos do direito internacional humanitário e </w:t>
      </w:r>
      <w:r>
        <w:rPr>
          <w:color w:val="231F20"/>
        </w:rPr>
        <w:t>devem ser responsabilizados.</w:t>
      </w:r>
      <w:r>
        <w:rPr>
          <w:color w:val="231F20"/>
          <w:vertAlign w:val="superscript"/>
        </w:rPr>
        <w:t>6</w:t>
      </w:r>
    </w:p>
    <w:p w:rsidR="00E22D99" w:rsidRDefault="00E22D99" w:rsidP="006A426B">
      <w:pPr>
        <w:pStyle w:val="Corpsdetexte"/>
        <w:spacing w:before="9"/>
        <w:ind w:left="567" w:right="113"/>
        <w:rPr>
          <w:sz w:val="15"/>
        </w:rPr>
      </w:pPr>
    </w:p>
    <w:p w:rsidR="00E22D99" w:rsidRDefault="0030021D" w:rsidP="006A426B">
      <w:pPr>
        <w:pStyle w:val="Titre1"/>
        <w:ind w:left="567" w:right="113"/>
      </w:pPr>
      <w:r>
        <w:rPr>
          <w:color w:val="231F20"/>
        </w:rPr>
        <w:t>Conclusão</w:t>
      </w:r>
    </w:p>
    <w:p w:rsidR="00E22D99" w:rsidRDefault="00E22D99" w:rsidP="006A426B">
      <w:pPr>
        <w:pStyle w:val="Corpsdetexte"/>
        <w:spacing w:before="8"/>
        <w:ind w:left="567" w:right="113"/>
        <w:rPr>
          <w:rFonts w:ascii="Gill Sans MT"/>
          <w:b/>
          <w:sz w:val="19"/>
        </w:rPr>
      </w:pPr>
    </w:p>
    <w:p w:rsidR="00E22D99" w:rsidRDefault="0030021D" w:rsidP="006A426B">
      <w:pPr>
        <w:pStyle w:val="Corpsdetexte"/>
        <w:spacing w:before="1" w:line="273" w:lineRule="auto"/>
        <w:ind w:left="567" w:right="113"/>
      </w:pPr>
      <w:r>
        <w:rPr>
          <w:color w:val="231F20"/>
        </w:rPr>
        <w:t>Para além do quadro definido nos Princípios Orientadores, é possível apontar referências e indicadores decisivos que explicam a responsabilidade</w:t>
      </w:r>
    </w:p>
    <w:p w:rsidR="00E22D99" w:rsidRDefault="0030021D" w:rsidP="006A426B">
      <w:pPr>
        <w:pStyle w:val="Corpsdetexte"/>
        <w:spacing w:line="273" w:lineRule="auto"/>
        <w:ind w:left="567" w:right="113"/>
      </w:pPr>
      <w:r>
        <w:rPr>
          <w:color w:val="231F20"/>
        </w:rPr>
        <w:t>nacional em responder às deslocações internas. Cada um dos 12 passos essenciais pode melhorar os esforços nacionais e beneficiar os deslocados internos. Consideradas em conjunto, estas referências podem constituir um quadro de ação abrangente para cumprir a responsabilidade nacional em situações de deslocação interna.</w:t>
      </w:r>
    </w:p>
    <w:p w:rsidR="00E22D99" w:rsidRDefault="00E22D99" w:rsidP="006A426B">
      <w:pPr>
        <w:pStyle w:val="Corpsdetexte"/>
        <w:spacing w:before="5"/>
        <w:ind w:left="567" w:right="113"/>
        <w:rPr>
          <w:sz w:val="18"/>
        </w:rPr>
      </w:pPr>
    </w:p>
    <w:p w:rsidR="00E22D99" w:rsidRDefault="0030021D" w:rsidP="006A426B">
      <w:pPr>
        <w:pStyle w:val="Corpsdetexte"/>
        <w:spacing w:line="273" w:lineRule="auto"/>
        <w:ind w:left="567" w:right="113"/>
      </w:pPr>
      <w:r>
        <w:rPr>
          <w:color w:val="231F20"/>
        </w:rPr>
        <w:t>O Quadro de Responsabilidade Nacional pode ajudar os governos a responder às deslocações internas e cumprir as suas obrigações, servindo ao mesmo tempo como uma ferramenta para permitir às organizações internacionais, organismos regionais, doadores, instituições nacionais de direitos humanos, sociedade civil e aos próprios deslocados monitorizar e avaliar até que ponto a responsabilidade nacional está a ser efetivamente cumprida.</w:t>
      </w:r>
    </w:p>
    <w:p w:rsidR="00E22D99" w:rsidRDefault="00E22D99" w:rsidP="006A426B">
      <w:pPr>
        <w:pStyle w:val="Corpsdetexte"/>
        <w:spacing w:before="5"/>
        <w:ind w:left="567" w:right="113"/>
        <w:rPr>
          <w:sz w:val="18"/>
        </w:rPr>
      </w:pPr>
    </w:p>
    <w:p w:rsidR="00E22D99" w:rsidRDefault="0030021D" w:rsidP="006A426B">
      <w:pPr>
        <w:pStyle w:val="Corpsdetexte"/>
        <w:spacing w:line="273" w:lineRule="auto"/>
        <w:ind w:left="567" w:right="113"/>
      </w:pPr>
      <w:r>
        <w:rPr>
          <w:color w:val="231F20"/>
        </w:rPr>
        <w:t>A necessidade dessa ferramenta torna-se evidente com base no uso ativo do Quadro por parte dos governos e outros agentes em todo o mundo. Por exemplo, as suas referências constituem a base da formação da Organização Internacional para as Migrações (OIM) sobre as deslocações internas para decisores políticos do governo e médicos.</w:t>
      </w:r>
      <w:r>
        <w:rPr>
          <w:color w:val="231F20"/>
          <w:vertAlign w:val="superscript"/>
        </w:rPr>
        <w:t>7</w:t>
      </w:r>
      <w:r>
        <w:rPr>
          <w:color w:val="231F20"/>
        </w:rPr>
        <w:t xml:space="preserve"> No Iraque, a OIM planeia usar uma tradução árabe do Quadro no seu trabalho de desenvolvimento de capacidades com o Ministério da Deslocação e Migração. Na Serra Leoa, o Gabinete do Alto Comissariado da ONU</w:t>
      </w:r>
    </w:p>
    <w:p w:rsidR="00E22D99" w:rsidRDefault="0030021D" w:rsidP="006A426B">
      <w:pPr>
        <w:pStyle w:val="Corpsdetexte"/>
        <w:spacing w:before="3" w:line="273" w:lineRule="auto"/>
        <w:ind w:left="567" w:right="113"/>
      </w:pPr>
      <w:r>
        <w:rPr>
          <w:color w:val="231F20"/>
        </w:rPr>
        <w:t>para os Direitos Humanos incorporou o Quadro na sua formação para a polícia. Na Rússia e no Sri Lanka, os grupos locais estão a preparar versões do Quadro nos idiomas locais que também incluirão uma avaliação da resposta nacional à luz do conjunto de referências.</w:t>
      </w:r>
    </w:p>
    <w:p w:rsidR="00E22D99" w:rsidRDefault="00E22D99" w:rsidP="006A426B">
      <w:pPr>
        <w:pStyle w:val="Corpsdetexte"/>
        <w:spacing w:before="4"/>
        <w:ind w:left="567" w:right="113"/>
        <w:rPr>
          <w:sz w:val="18"/>
        </w:rPr>
      </w:pPr>
    </w:p>
    <w:p w:rsidR="00E22D99" w:rsidRDefault="0030021D" w:rsidP="006A426B">
      <w:pPr>
        <w:pStyle w:val="Corpsdetexte"/>
        <w:spacing w:line="273" w:lineRule="auto"/>
        <w:ind w:left="567" w:right="113"/>
      </w:pPr>
      <w:r>
        <w:rPr>
          <w:color w:val="231F20"/>
        </w:rPr>
        <w:t xml:space="preserve">Os governos terão obviamente de adequar a aplicação deste quadro às condições específicas de cada país. Pode também ser </w:t>
      </w:r>
      <w:r>
        <w:rPr>
          <w:color w:val="231F20"/>
        </w:rPr>
        <w:t>interessante adaptar o Quadro a nível regional, conforme foi feito</w:t>
      </w:r>
    </w:p>
    <w:p w:rsidR="00E22D99" w:rsidRDefault="0030021D" w:rsidP="006A426B">
      <w:pPr>
        <w:pStyle w:val="Corpsdetexte"/>
        <w:spacing w:before="1" w:line="273" w:lineRule="auto"/>
        <w:ind w:left="567" w:right="113"/>
      </w:pPr>
      <w:r>
        <w:rPr>
          <w:color w:val="231F20"/>
        </w:rPr>
        <w:t>nas Américas.</w:t>
      </w:r>
      <w:r>
        <w:rPr>
          <w:color w:val="231F20"/>
          <w:sz w:val="9"/>
          <w:vertAlign w:val="superscript"/>
        </w:rPr>
        <w:t>8</w:t>
      </w:r>
      <w:r>
        <w:rPr>
          <w:color w:val="231F20"/>
          <w:sz w:val="9"/>
        </w:rPr>
        <w:t xml:space="preserve"> A</w:t>
      </w:r>
      <w:r>
        <w:rPr>
          <w:color w:val="231F20"/>
        </w:rPr>
        <w:t xml:space="preserve"> Commonwealth está a promover as referências como “boas</w:t>
      </w:r>
      <w:r w:rsidR="006A426B">
        <w:rPr>
          <w:color w:val="231F20"/>
        </w:rPr>
        <w:t xml:space="preserve"> </w:t>
      </w:r>
      <w:r>
        <w:rPr>
          <w:color w:val="231F20"/>
        </w:rPr>
        <w:t>práticas” entre os seus estados-membros.</w:t>
      </w:r>
      <w:r>
        <w:rPr>
          <w:color w:val="231F20"/>
          <w:sz w:val="9"/>
          <w:vertAlign w:val="superscript"/>
        </w:rPr>
        <w:t>9</w:t>
      </w:r>
      <w:r>
        <w:rPr>
          <w:color w:val="231F20"/>
          <w:sz w:val="9"/>
        </w:rPr>
        <w:t xml:space="preserve"> Essas iniciativas regionais e nacionais</w:t>
      </w:r>
      <w:r>
        <w:rPr>
          <w:color w:val="231F20"/>
        </w:rPr>
        <w:t xml:space="preserve"> para promover e reforçar a responsabilidade nacional são necessárias para</w:t>
      </w:r>
    </w:p>
    <w:p w:rsidR="00E22D99" w:rsidRDefault="0030021D" w:rsidP="006A426B">
      <w:pPr>
        <w:pStyle w:val="Corpsdetexte"/>
        <w:spacing w:before="1" w:line="273" w:lineRule="auto"/>
        <w:ind w:left="309" w:right="113"/>
      </w:pPr>
      <w:r>
        <w:rPr>
          <w:color w:val="231F20"/>
        </w:rPr>
        <w:t>melhorar a situação de milhões de deslocados internos em todo o mundo que contam com a proteção e assistência dos seus governos.</w:t>
      </w:r>
    </w:p>
    <w:p w:rsidR="00E22D99" w:rsidRDefault="00E22D99" w:rsidP="006A426B">
      <w:pPr>
        <w:pStyle w:val="Corpsdetexte"/>
        <w:spacing w:before="3"/>
        <w:ind w:right="113"/>
        <w:rPr>
          <w:sz w:val="18"/>
        </w:rPr>
      </w:pPr>
    </w:p>
    <w:p w:rsidR="00E22D99" w:rsidRDefault="0030021D" w:rsidP="006A426B">
      <w:pPr>
        <w:spacing w:line="273" w:lineRule="auto"/>
        <w:ind w:left="309" w:right="113"/>
        <w:rPr>
          <w:b/>
          <w:i/>
          <w:sz w:val="16"/>
        </w:rPr>
      </w:pPr>
      <w:r>
        <w:rPr>
          <w:b/>
          <w:i/>
          <w:color w:val="231F20"/>
          <w:sz w:val="16"/>
        </w:rPr>
        <w:t xml:space="preserve">Erin Mooney é diretor-adjunto do Projeto da Brookings Institution-Universidade de Berna sobre as Deslocações Internas. E-mail: </w:t>
      </w:r>
      <w:hyperlink r:id="rId7">
        <w:r>
          <w:rPr>
            <w:b/>
            <w:i/>
            <w:color w:val="231F20"/>
            <w:sz w:val="16"/>
          </w:rPr>
          <w:t>emooney@brookings.edu</w:t>
        </w:r>
      </w:hyperlink>
      <w:r>
        <w:t>.</w:t>
      </w:r>
    </w:p>
    <w:p w:rsidR="00E22D99" w:rsidRDefault="003E66A3" w:rsidP="006A426B">
      <w:pPr>
        <w:pStyle w:val="Corpsdetexte"/>
        <w:spacing w:before="10"/>
        <w:ind w:right="113"/>
        <w:rPr>
          <w:b/>
          <w:i/>
        </w:rPr>
      </w:pPr>
      <w:r>
        <w:pict>
          <v:group id="_x0000_s1026" style="position:absolute;margin-left:410.4pt;margin-top:11.9pt;width:121.5pt;height:170.05pt;z-index:-15724544;mso-wrap-distance-left:0;mso-wrap-distance-right:0;mso-position-horizontal-relative:page" coordorigin="8208,238" coordsize="2430,3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8208;top:238;width:2430;height:3401">
              <v:imagedata r:id="rId8" o:title=""/>
            </v:shape>
            <v:shape id="_x0000_s1027" type="#_x0000_t75" style="position:absolute;left:8238;top:268;width:2135;height:3122">
              <v:imagedata r:id="rId9" o:title=""/>
            </v:shape>
            <w10:wrap type="topAndBottom" anchorx="page"/>
          </v:group>
        </w:pict>
      </w:r>
    </w:p>
    <w:p w:rsidR="00E22D99" w:rsidRDefault="0030021D" w:rsidP="006A426B">
      <w:pPr>
        <w:spacing w:before="9" w:line="273" w:lineRule="auto"/>
        <w:ind w:left="309" w:right="113"/>
        <w:jc w:val="both"/>
        <w:rPr>
          <w:sz w:val="16"/>
        </w:rPr>
      </w:pPr>
      <w:r>
        <w:rPr>
          <w:i/>
          <w:color w:val="231F20"/>
          <w:sz w:val="16"/>
        </w:rPr>
        <w:t>Abordar as Deslocações Internas: Quadro para a Responsabilidade Nacional de</w:t>
      </w:r>
      <w:r>
        <w:rPr>
          <w:color w:val="231F20"/>
          <w:sz w:val="16"/>
        </w:rPr>
        <w:t xml:space="preserve"> Erin Mooney (Projeto da Brookings</w:t>
      </w:r>
    </w:p>
    <w:p w:rsidR="00E22D99" w:rsidRDefault="0030021D" w:rsidP="006A426B">
      <w:pPr>
        <w:pStyle w:val="Corpsdetexte"/>
        <w:spacing w:line="273" w:lineRule="auto"/>
        <w:ind w:left="309" w:right="113"/>
      </w:pPr>
      <w:r>
        <w:rPr>
          <w:color w:val="231F20"/>
        </w:rPr>
        <w:t>Institution-Universidade de Berna sobre as Deslocações Internas, 2005),</w:t>
      </w:r>
    </w:p>
    <w:p w:rsidR="00E22D99" w:rsidRDefault="0030021D" w:rsidP="006A426B">
      <w:pPr>
        <w:pStyle w:val="Corpsdetexte"/>
        <w:spacing w:before="1" w:line="273" w:lineRule="auto"/>
        <w:ind w:left="309" w:right="113"/>
      </w:pPr>
      <w:r>
        <w:rPr>
          <w:color w:val="231F20"/>
        </w:rPr>
        <w:t>está disponível em inglês, francês e português em</w:t>
      </w:r>
      <w:hyperlink r:id="rId10">
        <w:r>
          <w:rPr>
            <w:color w:val="231F20"/>
          </w:rPr>
          <w:t xml:space="preserve"> www.brookings.edu/</w:t>
        </w:r>
      </w:hyperlink>
      <w:r>
        <w:rPr>
          <w:color w:val="231F20"/>
        </w:rPr>
        <w:t xml:space="preserve"> idp/20050401_nrframework.pdf.</w:t>
      </w:r>
    </w:p>
    <w:p w:rsidR="00E22D99" w:rsidRDefault="00E22D99" w:rsidP="006A426B">
      <w:pPr>
        <w:pStyle w:val="Corpsdetexte"/>
        <w:ind w:right="113"/>
        <w:rPr>
          <w:sz w:val="18"/>
        </w:rPr>
      </w:pPr>
    </w:p>
    <w:p w:rsidR="00E22D99" w:rsidRDefault="0030021D" w:rsidP="006A426B">
      <w:pPr>
        <w:pStyle w:val="Paragraphedeliste"/>
        <w:numPr>
          <w:ilvl w:val="0"/>
          <w:numId w:val="1"/>
        </w:numPr>
        <w:tabs>
          <w:tab w:val="left" w:pos="451"/>
        </w:tabs>
        <w:spacing w:before="147"/>
        <w:ind w:right="113"/>
        <w:rPr>
          <w:sz w:val="12"/>
        </w:rPr>
      </w:pPr>
      <w:r>
        <w:t>Disponível em</w:t>
      </w:r>
      <w:hyperlink r:id="rId11">
        <w:r>
          <w:rPr>
            <w:color w:val="231F20"/>
            <w:sz w:val="12"/>
          </w:rPr>
          <w:t xml:space="preserve"> www.idpproject.org.</w:t>
        </w:r>
      </w:hyperlink>
    </w:p>
    <w:p w:rsidR="00E22D99" w:rsidRDefault="0030021D" w:rsidP="006A426B">
      <w:pPr>
        <w:pStyle w:val="Paragraphedeliste"/>
        <w:numPr>
          <w:ilvl w:val="0"/>
          <w:numId w:val="1"/>
        </w:numPr>
        <w:tabs>
          <w:tab w:val="left" w:pos="448"/>
        </w:tabs>
        <w:spacing w:before="18" w:line="271" w:lineRule="auto"/>
        <w:ind w:left="309" w:right="113" w:firstLine="0"/>
        <w:rPr>
          <w:sz w:val="12"/>
        </w:rPr>
      </w:pPr>
      <w:r>
        <w:rPr>
          <w:color w:val="231F20"/>
          <w:sz w:val="12"/>
        </w:rPr>
        <w:t xml:space="preserve">Roberta Cohen, Walter Kälin e Erin Mooney (eds.), </w:t>
      </w:r>
      <w:r>
        <w:rPr>
          <w:i/>
          <w:iCs/>
          <w:color w:val="231F20"/>
          <w:sz w:val="12"/>
        </w:rPr>
        <w:t>Os Princípios Orientadores sobre as Deslocações Internas e as Leis do Cáucaso do Sul,</w:t>
      </w:r>
      <w:r>
        <w:rPr>
          <w:color w:val="231F20"/>
          <w:sz w:val="12"/>
        </w:rPr>
        <w:t xml:space="preserve"> American Society of International Law, 2003. Encomendar em </w:t>
      </w:r>
      <w:hyperlink r:id="rId12">
        <w:r>
          <w:rPr>
            <w:color w:val="231F20"/>
            <w:sz w:val="12"/>
          </w:rPr>
          <w:t>www.brook.edu/fp/projects/idp/books.htm</w:t>
        </w:r>
      </w:hyperlink>
      <w:r>
        <w:t>.</w:t>
      </w:r>
    </w:p>
    <w:p w:rsidR="00E22D99" w:rsidRDefault="003E66A3" w:rsidP="006A426B">
      <w:pPr>
        <w:pStyle w:val="Paragraphedeliste"/>
        <w:numPr>
          <w:ilvl w:val="0"/>
          <w:numId w:val="1"/>
        </w:numPr>
        <w:tabs>
          <w:tab w:val="left" w:pos="451"/>
        </w:tabs>
        <w:spacing w:before="2"/>
        <w:ind w:right="113"/>
        <w:rPr>
          <w:sz w:val="12"/>
        </w:rPr>
      </w:pPr>
      <w:hyperlink r:id="rId13">
        <w:r w:rsidR="0030021D">
          <w:rPr>
            <w:color w:val="231F20"/>
            <w:sz w:val="12"/>
          </w:rPr>
          <w:t>www.asiapacificforum.net</w:t>
        </w:r>
      </w:hyperlink>
      <w:r w:rsidR="0030021D">
        <w:t>.</w:t>
      </w:r>
    </w:p>
    <w:p w:rsidR="00E22D99" w:rsidRDefault="0030021D" w:rsidP="006A426B">
      <w:pPr>
        <w:pStyle w:val="Paragraphedeliste"/>
        <w:numPr>
          <w:ilvl w:val="0"/>
          <w:numId w:val="1"/>
        </w:numPr>
        <w:tabs>
          <w:tab w:val="left" w:pos="451"/>
        </w:tabs>
        <w:spacing w:before="19"/>
        <w:ind w:right="113"/>
        <w:rPr>
          <w:sz w:val="12"/>
        </w:rPr>
      </w:pPr>
      <w:r>
        <w:rPr>
          <w:color w:val="231F20"/>
          <w:sz w:val="12"/>
        </w:rPr>
        <w:t xml:space="preserve">FMR17 </w:t>
      </w:r>
      <w:hyperlink r:id="rId14">
        <w:r>
          <w:rPr>
            <w:color w:val="231F20"/>
            <w:sz w:val="12"/>
          </w:rPr>
          <w:t>www.fmreview.org/mags1.htm</w:t>
        </w:r>
      </w:hyperlink>
      <w:r>
        <w:t>.</w:t>
      </w:r>
    </w:p>
    <w:p w:rsidR="00E22D99" w:rsidRDefault="0030021D" w:rsidP="006A426B">
      <w:pPr>
        <w:pStyle w:val="Paragraphedeliste"/>
        <w:numPr>
          <w:ilvl w:val="0"/>
          <w:numId w:val="1"/>
        </w:numPr>
        <w:tabs>
          <w:tab w:val="left" w:pos="451"/>
        </w:tabs>
        <w:spacing w:before="18" w:line="271" w:lineRule="auto"/>
        <w:ind w:left="309" w:right="113" w:firstLine="0"/>
        <w:rPr>
          <w:i/>
          <w:sz w:val="12"/>
        </w:rPr>
      </w:pPr>
      <w:r>
        <w:rPr>
          <w:i/>
          <w:color w:val="231F20"/>
          <w:sz w:val="12"/>
        </w:rPr>
        <w:t>Proteção de Pessoas Deslocadas Internamente em Situações de Catástrofe Natural: Uma Visita de Trabalho à Ásia pelo Representante do Secretário-Geral da ONU para os Direitos Humanos das Pessoas Deslocadas Internamente, Walter Kälin, 27 de fevereiro</w:t>
      </w:r>
    </w:p>
    <w:p w:rsidR="00E22D99" w:rsidRDefault="0030021D" w:rsidP="006A426B">
      <w:pPr>
        <w:spacing w:before="2" w:line="271" w:lineRule="auto"/>
        <w:ind w:left="309" w:right="113"/>
        <w:rPr>
          <w:sz w:val="12"/>
        </w:rPr>
      </w:pPr>
      <w:r>
        <w:rPr>
          <w:i/>
          <w:color w:val="231F20"/>
          <w:sz w:val="12"/>
        </w:rPr>
        <w:t>– 5 de março de 2005</w:t>
      </w:r>
      <w:r>
        <w:rPr>
          <w:color w:val="231F20"/>
          <w:sz w:val="12"/>
        </w:rPr>
        <w:t xml:space="preserve">, </w:t>
      </w:r>
      <w:hyperlink r:id="rId15">
        <w:r>
          <w:rPr>
            <w:color w:val="231F20"/>
            <w:sz w:val="12"/>
          </w:rPr>
          <w:t>www.brookings.edu/20050227_</w:t>
        </w:r>
      </w:hyperlink>
      <w:r>
        <w:rPr>
          <w:color w:val="231F20"/>
          <w:sz w:val="12"/>
        </w:rPr>
        <w:t xml:space="preserve"> tsunami.pdf FMR edição especial tsunami </w:t>
      </w:r>
      <w:hyperlink r:id="rId16">
        <w:r>
          <w:rPr>
            <w:color w:val="231F20"/>
            <w:sz w:val="12"/>
          </w:rPr>
          <w:t>www.</w:t>
        </w:r>
      </w:hyperlink>
      <w:r>
        <w:rPr>
          <w:color w:val="231F20"/>
          <w:sz w:val="12"/>
        </w:rPr>
        <w:t xml:space="preserve"> fmreview.org/tsunami.htm</w:t>
      </w:r>
    </w:p>
    <w:p w:rsidR="00E22D99" w:rsidRDefault="0030021D" w:rsidP="006A426B">
      <w:pPr>
        <w:pStyle w:val="Paragraphedeliste"/>
        <w:numPr>
          <w:ilvl w:val="0"/>
          <w:numId w:val="1"/>
        </w:numPr>
        <w:tabs>
          <w:tab w:val="left" w:pos="451"/>
        </w:tabs>
        <w:spacing w:before="1"/>
        <w:ind w:right="113"/>
        <w:rPr>
          <w:sz w:val="12"/>
        </w:rPr>
      </w:pPr>
      <w:r>
        <w:rPr>
          <w:color w:val="231F20"/>
          <w:sz w:val="12"/>
        </w:rPr>
        <w:t>Consultar o artigo de Greta Zeender nas pp. 22 a 23.</w:t>
      </w:r>
    </w:p>
    <w:p w:rsidR="00E22D99" w:rsidRDefault="0030021D" w:rsidP="006A426B">
      <w:pPr>
        <w:pStyle w:val="Paragraphedeliste"/>
        <w:numPr>
          <w:ilvl w:val="0"/>
          <w:numId w:val="1"/>
        </w:numPr>
        <w:tabs>
          <w:tab w:val="left" w:pos="451"/>
        </w:tabs>
        <w:spacing w:before="18" w:line="271" w:lineRule="auto"/>
        <w:ind w:left="309" w:right="113" w:firstLine="0"/>
        <w:rPr>
          <w:sz w:val="12"/>
        </w:rPr>
      </w:pPr>
      <w:r>
        <w:rPr>
          <w:i/>
          <w:color w:val="231F20"/>
          <w:sz w:val="12"/>
        </w:rPr>
        <w:t xml:space="preserve">Noções Básicas de Gestão de Migrações para Decisores Políticos e Médicos: </w:t>
      </w:r>
      <w:r>
        <w:rPr>
          <w:color w:val="231F20"/>
          <w:sz w:val="12"/>
        </w:rPr>
        <w:t>Manual do Curso, Genebra: Organização Internacional para as Migrações, 2004.</w:t>
      </w:r>
    </w:p>
    <w:p w:rsidR="00E22D99" w:rsidRDefault="0030021D" w:rsidP="006A426B">
      <w:pPr>
        <w:pStyle w:val="Paragraphedeliste"/>
        <w:numPr>
          <w:ilvl w:val="0"/>
          <w:numId w:val="1"/>
        </w:numPr>
        <w:tabs>
          <w:tab w:val="left" w:pos="451"/>
        </w:tabs>
        <w:spacing w:before="1" w:line="271" w:lineRule="auto"/>
        <w:ind w:left="309" w:right="113" w:firstLine="0"/>
        <w:rPr>
          <w:sz w:val="12"/>
        </w:rPr>
      </w:pPr>
      <w:r>
        <w:rPr>
          <w:i/>
          <w:color w:val="231F20"/>
          <w:sz w:val="12"/>
        </w:rPr>
        <w:t xml:space="preserve">Um Quadro para Ação sobre as Deslocações Internas nas Américas, Anexo do Relatório do Seminário Regional sobre Deslocações Internas nas Américas, Cidade do México, 18 a 20 de fev. de 2004 </w:t>
      </w:r>
      <w:hyperlink r:id="rId17">
        <w:r>
          <w:rPr>
            <w:color w:val="231F20"/>
            <w:sz w:val="12"/>
          </w:rPr>
          <w:t>www.brookings.edu/idp/conferences/MexReport.</w:t>
        </w:r>
      </w:hyperlink>
      <w:r>
        <w:rPr>
          <w:color w:val="231F20"/>
          <w:sz w:val="12"/>
        </w:rPr>
        <w:t xml:space="preserve"> pdf. Erin Mooney “Promover a responsabilidade nacional para as deslocações internas nas Américas”, FMR20 </w:t>
      </w:r>
      <w:hyperlink r:id="rId18">
        <w:r>
          <w:rPr>
            <w:color w:val="231F20"/>
            <w:sz w:val="12"/>
          </w:rPr>
          <w:t>www.fmreview.org/FMRpdfs/FMR20/</w:t>
        </w:r>
      </w:hyperlink>
      <w:r>
        <w:rPr>
          <w:color w:val="231F20"/>
          <w:sz w:val="12"/>
        </w:rPr>
        <w:t xml:space="preserve"> FMR20brookings.pdf</w:t>
      </w:r>
    </w:p>
    <w:p w:rsidR="00E22D99" w:rsidRDefault="0030021D" w:rsidP="006A426B">
      <w:pPr>
        <w:pStyle w:val="Paragraphedeliste"/>
        <w:numPr>
          <w:ilvl w:val="0"/>
          <w:numId w:val="1"/>
        </w:numPr>
        <w:tabs>
          <w:tab w:val="left" w:pos="451"/>
        </w:tabs>
        <w:spacing w:before="3" w:line="271" w:lineRule="auto"/>
        <w:ind w:left="309" w:right="113" w:firstLine="0"/>
        <w:rPr>
          <w:sz w:val="12"/>
        </w:rPr>
      </w:pPr>
      <w:r>
        <w:rPr>
          <w:color w:val="231F20"/>
          <w:sz w:val="12"/>
        </w:rPr>
        <w:t xml:space="preserve">Secretariado da Commonwealth, Unidade de Direitos Humanos, </w:t>
      </w:r>
      <w:r>
        <w:rPr>
          <w:i/>
          <w:color w:val="231F20"/>
          <w:sz w:val="12"/>
        </w:rPr>
        <w:t xml:space="preserve">Relatório da Reunião do Grupo de Peritos sobre as Deslocações Internas na Commonwealth: Temáticas Comuns e Diretrizes para Boas Práticas, 19 a 21 de maio de 2003 </w:t>
      </w:r>
      <w:r>
        <w:rPr>
          <w:color w:val="231F20"/>
          <w:sz w:val="12"/>
        </w:rPr>
        <w:t>(junho de 2004).</w:t>
      </w:r>
    </w:p>
    <w:sectPr w:rsidR="00E22D99">
      <w:type w:val="continuous"/>
      <w:pgSz w:w="12030" w:h="16780"/>
      <w:pgMar w:top="60" w:right="180" w:bottom="280" w:left="220" w:header="720" w:footer="720" w:gutter="0"/>
      <w:cols w:num="3" w:space="720" w:equalWidth="0">
        <w:col w:w="4099" w:space="40"/>
        <w:col w:w="3208" w:space="39"/>
        <w:col w:w="424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Bright">
    <w:altName w:val="Lucida Bright"/>
    <w:panose1 w:val="020406020505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Palatino Linotype">
    <w:panose1 w:val="02040502050505030304"/>
    <w:charset w:val="00"/>
    <w:family w:val="roman"/>
    <w:pitch w:val="variable"/>
    <w:sig w:usb0="E0000287" w:usb1="40000013" w:usb2="00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E6484"/>
    <w:multiLevelType w:val="hybridMultilevel"/>
    <w:tmpl w:val="C846D95A"/>
    <w:lvl w:ilvl="0" w:tplc="FB70BC3C">
      <w:start w:val="1"/>
      <w:numFmt w:val="decimal"/>
      <w:lvlText w:val="%1."/>
      <w:lvlJc w:val="left"/>
      <w:pPr>
        <w:ind w:left="450" w:hanging="142"/>
        <w:jc w:val="left"/>
      </w:pPr>
      <w:rPr>
        <w:rFonts w:ascii="Lucida Bright" w:eastAsia="Lucida Bright" w:hAnsi="Lucida Bright" w:cs="Lucida Bright" w:hint="default"/>
        <w:color w:val="231F20"/>
        <w:spacing w:val="-1"/>
        <w:w w:val="100"/>
        <w:sz w:val="12"/>
        <w:szCs w:val="12"/>
      </w:rPr>
    </w:lvl>
    <w:lvl w:ilvl="1" w:tplc="C134968A">
      <w:numFmt w:val="bullet"/>
      <w:lvlText w:val="•"/>
      <w:lvlJc w:val="left"/>
      <w:pPr>
        <w:ind w:left="837" w:hanging="142"/>
      </w:pPr>
      <w:rPr>
        <w:rFonts w:hint="default"/>
      </w:rPr>
    </w:lvl>
    <w:lvl w:ilvl="2" w:tplc="C6702FFE">
      <w:numFmt w:val="bullet"/>
      <w:lvlText w:val="•"/>
      <w:lvlJc w:val="left"/>
      <w:pPr>
        <w:ind w:left="1215" w:hanging="142"/>
      </w:pPr>
      <w:rPr>
        <w:rFonts w:hint="default"/>
      </w:rPr>
    </w:lvl>
    <w:lvl w:ilvl="3" w:tplc="6B6A235C">
      <w:numFmt w:val="bullet"/>
      <w:lvlText w:val="•"/>
      <w:lvlJc w:val="left"/>
      <w:pPr>
        <w:ind w:left="1593" w:hanging="142"/>
      </w:pPr>
      <w:rPr>
        <w:rFonts w:hint="default"/>
      </w:rPr>
    </w:lvl>
    <w:lvl w:ilvl="4" w:tplc="F44E128C">
      <w:numFmt w:val="bullet"/>
      <w:lvlText w:val="•"/>
      <w:lvlJc w:val="left"/>
      <w:pPr>
        <w:ind w:left="1971" w:hanging="142"/>
      </w:pPr>
      <w:rPr>
        <w:rFonts w:hint="default"/>
      </w:rPr>
    </w:lvl>
    <w:lvl w:ilvl="5" w:tplc="EB4A0128">
      <w:numFmt w:val="bullet"/>
      <w:lvlText w:val="•"/>
      <w:lvlJc w:val="left"/>
      <w:pPr>
        <w:ind w:left="2349" w:hanging="142"/>
      </w:pPr>
      <w:rPr>
        <w:rFonts w:hint="default"/>
      </w:rPr>
    </w:lvl>
    <w:lvl w:ilvl="6" w:tplc="C68C7EA2">
      <w:numFmt w:val="bullet"/>
      <w:lvlText w:val="•"/>
      <w:lvlJc w:val="left"/>
      <w:pPr>
        <w:ind w:left="2727" w:hanging="142"/>
      </w:pPr>
      <w:rPr>
        <w:rFonts w:hint="default"/>
      </w:rPr>
    </w:lvl>
    <w:lvl w:ilvl="7" w:tplc="7FE4C6E8">
      <w:numFmt w:val="bullet"/>
      <w:lvlText w:val="•"/>
      <w:lvlJc w:val="left"/>
      <w:pPr>
        <w:ind w:left="3105" w:hanging="142"/>
      </w:pPr>
      <w:rPr>
        <w:rFonts w:hint="default"/>
      </w:rPr>
    </w:lvl>
    <w:lvl w:ilvl="8" w:tplc="58FAC178">
      <w:numFmt w:val="bullet"/>
      <w:lvlText w:val="•"/>
      <w:lvlJc w:val="left"/>
      <w:pPr>
        <w:ind w:left="3483" w:hanging="142"/>
      </w:pPr>
      <w:rPr>
        <w:rFonts w:hint="default"/>
      </w:rPr>
    </w:lvl>
  </w:abstractNum>
  <w:abstractNum w:abstractNumId="1" w15:restartNumberingAfterBreak="0">
    <w:nsid w:val="2D100216"/>
    <w:multiLevelType w:val="hybridMultilevel"/>
    <w:tmpl w:val="47CE129A"/>
    <w:lvl w:ilvl="0" w:tplc="F43AF680">
      <w:start w:val="1"/>
      <w:numFmt w:val="decimal"/>
      <w:lvlText w:val="%1."/>
      <w:lvlJc w:val="left"/>
      <w:pPr>
        <w:ind w:left="322" w:hanging="189"/>
        <w:jc w:val="right"/>
      </w:pPr>
      <w:rPr>
        <w:rFonts w:ascii="Lucida Bright" w:eastAsia="Lucida Bright" w:hAnsi="Lucida Bright" w:cs="Lucida Bright" w:hint="default"/>
        <w:color w:val="231F20"/>
        <w:spacing w:val="-1"/>
        <w:w w:val="100"/>
        <w:sz w:val="16"/>
        <w:szCs w:val="16"/>
      </w:rPr>
    </w:lvl>
    <w:lvl w:ilvl="1" w:tplc="3B5465AE">
      <w:numFmt w:val="bullet"/>
      <w:lvlText w:val="•"/>
      <w:lvlJc w:val="left"/>
      <w:pPr>
        <w:ind w:left="1200" w:hanging="189"/>
      </w:pPr>
      <w:rPr>
        <w:rFonts w:hint="default"/>
      </w:rPr>
    </w:lvl>
    <w:lvl w:ilvl="2" w:tplc="62BE6FDA">
      <w:numFmt w:val="bullet"/>
      <w:lvlText w:val="•"/>
      <w:lvlJc w:val="left"/>
      <w:pPr>
        <w:ind w:left="7880" w:hanging="189"/>
      </w:pPr>
      <w:rPr>
        <w:rFonts w:hint="default"/>
      </w:rPr>
    </w:lvl>
    <w:lvl w:ilvl="3" w:tplc="80082E14">
      <w:numFmt w:val="bullet"/>
      <w:lvlText w:val="•"/>
      <w:lvlJc w:val="left"/>
      <w:pPr>
        <w:ind w:left="7277" w:hanging="189"/>
      </w:pPr>
      <w:rPr>
        <w:rFonts w:hint="default"/>
      </w:rPr>
    </w:lvl>
    <w:lvl w:ilvl="4" w:tplc="1C1E06B6">
      <w:numFmt w:val="bullet"/>
      <w:lvlText w:val="•"/>
      <w:lvlJc w:val="left"/>
      <w:pPr>
        <w:ind w:left="6675" w:hanging="189"/>
      </w:pPr>
      <w:rPr>
        <w:rFonts w:hint="default"/>
      </w:rPr>
    </w:lvl>
    <w:lvl w:ilvl="5" w:tplc="DE480AEE">
      <w:numFmt w:val="bullet"/>
      <w:lvlText w:val="•"/>
      <w:lvlJc w:val="left"/>
      <w:pPr>
        <w:ind w:left="6072" w:hanging="189"/>
      </w:pPr>
      <w:rPr>
        <w:rFonts w:hint="default"/>
      </w:rPr>
    </w:lvl>
    <w:lvl w:ilvl="6" w:tplc="912A836E">
      <w:numFmt w:val="bullet"/>
      <w:lvlText w:val="•"/>
      <w:lvlJc w:val="left"/>
      <w:pPr>
        <w:ind w:left="5470" w:hanging="189"/>
      </w:pPr>
      <w:rPr>
        <w:rFonts w:hint="default"/>
      </w:rPr>
    </w:lvl>
    <w:lvl w:ilvl="7" w:tplc="ADDA0F42">
      <w:numFmt w:val="bullet"/>
      <w:lvlText w:val="•"/>
      <w:lvlJc w:val="left"/>
      <w:pPr>
        <w:ind w:left="4867" w:hanging="189"/>
      </w:pPr>
      <w:rPr>
        <w:rFonts w:hint="default"/>
      </w:rPr>
    </w:lvl>
    <w:lvl w:ilvl="8" w:tplc="D10A29BE">
      <w:numFmt w:val="bullet"/>
      <w:lvlText w:val="•"/>
      <w:lvlJc w:val="left"/>
      <w:pPr>
        <w:ind w:left="4265" w:hanging="189"/>
      </w:pPr>
      <w:rPr>
        <w:rFonts w:hint="default"/>
      </w:rPr>
    </w:lvl>
  </w:abstractNum>
  <w:abstractNum w:abstractNumId="2" w15:restartNumberingAfterBreak="0">
    <w:nsid w:val="46131952"/>
    <w:multiLevelType w:val="hybridMultilevel"/>
    <w:tmpl w:val="4594D5BE"/>
    <w:lvl w:ilvl="0" w:tplc="6C28A660">
      <w:start w:val="7"/>
      <w:numFmt w:val="decimal"/>
      <w:lvlText w:val="%1."/>
      <w:lvlJc w:val="left"/>
      <w:pPr>
        <w:ind w:left="296" w:hanging="189"/>
        <w:jc w:val="right"/>
      </w:pPr>
      <w:rPr>
        <w:rFonts w:ascii="Lucida Bright" w:eastAsia="Lucida Bright" w:hAnsi="Lucida Bright" w:cs="Lucida Bright" w:hint="default"/>
        <w:color w:val="231F20"/>
        <w:spacing w:val="-1"/>
        <w:w w:val="100"/>
        <w:sz w:val="16"/>
        <w:szCs w:val="16"/>
      </w:rPr>
    </w:lvl>
    <w:lvl w:ilvl="1" w:tplc="4B0EED4A">
      <w:numFmt w:val="bullet"/>
      <w:lvlText w:val="■"/>
      <w:lvlJc w:val="left"/>
      <w:pPr>
        <w:ind w:left="1381" w:hanging="171"/>
      </w:pPr>
      <w:rPr>
        <w:rFonts w:ascii="Arial" w:eastAsia="Arial" w:hAnsi="Arial" w:cs="Arial" w:hint="default"/>
        <w:color w:val="A7A9AC"/>
        <w:w w:val="126"/>
        <w:sz w:val="16"/>
        <w:szCs w:val="16"/>
      </w:rPr>
    </w:lvl>
    <w:lvl w:ilvl="2" w:tplc="BA40A668">
      <w:numFmt w:val="bullet"/>
      <w:lvlText w:val="•"/>
      <w:lvlJc w:val="left"/>
      <w:pPr>
        <w:ind w:left="1380" w:hanging="171"/>
      </w:pPr>
      <w:rPr>
        <w:rFonts w:hint="default"/>
      </w:rPr>
    </w:lvl>
    <w:lvl w:ilvl="3" w:tplc="578E55EA">
      <w:numFmt w:val="bullet"/>
      <w:lvlText w:val="•"/>
      <w:lvlJc w:val="left"/>
      <w:pPr>
        <w:ind w:left="770" w:hanging="171"/>
      </w:pPr>
      <w:rPr>
        <w:rFonts w:hint="default"/>
      </w:rPr>
    </w:lvl>
    <w:lvl w:ilvl="4" w:tplc="433A6E50">
      <w:numFmt w:val="bullet"/>
      <w:lvlText w:val="•"/>
      <w:lvlJc w:val="left"/>
      <w:pPr>
        <w:ind w:left="161" w:hanging="171"/>
      </w:pPr>
      <w:rPr>
        <w:rFonts w:hint="default"/>
      </w:rPr>
    </w:lvl>
    <w:lvl w:ilvl="5" w:tplc="4D9CEC94">
      <w:numFmt w:val="bullet"/>
      <w:lvlText w:val="•"/>
      <w:lvlJc w:val="left"/>
      <w:pPr>
        <w:ind w:left="-448" w:hanging="171"/>
      </w:pPr>
      <w:rPr>
        <w:rFonts w:hint="default"/>
      </w:rPr>
    </w:lvl>
    <w:lvl w:ilvl="6" w:tplc="89E21CAE">
      <w:numFmt w:val="bullet"/>
      <w:lvlText w:val="•"/>
      <w:lvlJc w:val="left"/>
      <w:pPr>
        <w:ind w:left="-1058" w:hanging="171"/>
      </w:pPr>
      <w:rPr>
        <w:rFonts w:hint="default"/>
      </w:rPr>
    </w:lvl>
    <w:lvl w:ilvl="7" w:tplc="AC0AA1BE">
      <w:numFmt w:val="bullet"/>
      <w:lvlText w:val="•"/>
      <w:lvlJc w:val="left"/>
      <w:pPr>
        <w:ind w:left="-1667" w:hanging="171"/>
      </w:pPr>
      <w:rPr>
        <w:rFonts w:hint="default"/>
      </w:rPr>
    </w:lvl>
    <w:lvl w:ilvl="8" w:tplc="A878AA86">
      <w:numFmt w:val="bullet"/>
      <w:lvlText w:val="•"/>
      <w:lvlJc w:val="left"/>
      <w:pPr>
        <w:ind w:left="-2276" w:hanging="171"/>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E22D99"/>
    <w:rsid w:val="000743CF"/>
    <w:rsid w:val="000D1443"/>
    <w:rsid w:val="00167A91"/>
    <w:rsid w:val="002B4AC8"/>
    <w:rsid w:val="0030021D"/>
    <w:rsid w:val="00305CD7"/>
    <w:rsid w:val="00332BE7"/>
    <w:rsid w:val="003E66A3"/>
    <w:rsid w:val="00472EC7"/>
    <w:rsid w:val="004E73D7"/>
    <w:rsid w:val="005715CD"/>
    <w:rsid w:val="005A4AC6"/>
    <w:rsid w:val="005D1765"/>
    <w:rsid w:val="00606EDF"/>
    <w:rsid w:val="0063249B"/>
    <w:rsid w:val="00656828"/>
    <w:rsid w:val="006A426B"/>
    <w:rsid w:val="006B1B4C"/>
    <w:rsid w:val="007D3196"/>
    <w:rsid w:val="00835EBE"/>
    <w:rsid w:val="008C375E"/>
    <w:rsid w:val="008D212D"/>
    <w:rsid w:val="00936E07"/>
    <w:rsid w:val="00AF5D30"/>
    <w:rsid w:val="00B4068F"/>
    <w:rsid w:val="00D56E2E"/>
    <w:rsid w:val="00E22D99"/>
    <w:rsid w:val="00E2577A"/>
    <w:rsid w:val="00F45A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422482F2"/>
  <w15:docId w15:val="{09930BCA-0A4C-4BD3-AB8F-B0BBB2354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Lucida Bright" w:eastAsia="Lucida Bright" w:hAnsi="Lucida Bright" w:cs="Lucida Bright"/>
    </w:rPr>
  </w:style>
  <w:style w:type="paragraph" w:styleId="Titre1">
    <w:name w:val="heading 1"/>
    <w:basedOn w:val="Normal"/>
    <w:uiPriority w:val="9"/>
    <w:qFormat/>
    <w:pPr>
      <w:ind w:left="759"/>
      <w:outlineLvl w:val="0"/>
    </w:pPr>
    <w:rPr>
      <w:rFonts w:ascii="Gill Sans MT" w:eastAsia="Gill Sans MT" w:hAnsi="Gill Sans MT" w:cs="Gill Sans MT"/>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16"/>
      <w:szCs w:val="16"/>
    </w:rPr>
  </w:style>
  <w:style w:type="paragraph" w:styleId="Titre">
    <w:name w:val="Title"/>
    <w:basedOn w:val="Normal"/>
    <w:uiPriority w:val="10"/>
    <w:qFormat/>
    <w:pPr>
      <w:spacing w:before="5"/>
    </w:pPr>
    <w:rPr>
      <w:sz w:val="75"/>
      <w:szCs w:val="75"/>
    </w:rPr>
  </w:style>
  <w:style w:type="paragraph" w:styleId="Paragraphedeliste">
    <w:name w:val="List Paragraph"/>
    <w:basedOn w:val="Normal"/>
    <w:uiPriority w:val="1"/>
    <w:qFormat/>
    <w:pPr>
      <w:ind w:left="309" w:hanging="20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asiapacificforum.net/." TargetMode="External"/><Relationship Id="rId18" Type="http://schemas.openxmlformats.org/officeDocument/2006/relationships/hyperlink" Target="http://www.fmreview.org/FMRpdfs/FMR20/" TargetMode="External"/><Relationship Id="rId3" Type="http://schemas.openxmlformats.org/officeDocument/2006/relationships/settings" Target="settings.xml"/><Relationship Id="rId7" Type="http://schemas.openxmlformats.org/officeDocument/2006/relationships/hyperlink" Target="mailto:emooney@brookings.edu" TargetMode="External"/><Relationship Id="rId12" Type="http://schemas.openxmlformats.org/officeDocument/2006/relationships/hyperlink" Target="http://www.brook.edu/fp/projects/idp/books.htm." TargetMode="External"/><Relationship Id="rId17" Type="http://schemas.openxmlformats.org/officeDocument/2006/relationships/hyperlink" Target="http://www.brookings.edu/idp/conferences/MexReport" TargetMode="External"/><Relationship Id="rId2" Type="http://schemas.openxmlformats.org/officeDocument/2006/relationships/styles" Target="styles.xml"/><Relationship Id="rId16" Type="http://schemas.openxmlformats.org/officeDocument/2006/relationships/hyperlink" Target="http://ww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idpproject.org/" TargetMode="External"/><Relationship Id="rId5" Type="http://schemas.openxmlformats.org/officeDocument/2006/relationships/image" Target="media/image1.png"/><Relationship Id="rId15" Type="http://schemas.openxmlformats.org/officeDocument/2006/relationships/hyperlink" Target="http://www.brookings.edu/20050227_" TargetMode="External"/><Relationship Id="rId10" Type="http://schemas.openxmlformats.org/officeDocument/2006/relationships/hyperlink" Target="http://www.brookings.ed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www.fmreview.org/mags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3229</Words>
  <Characters>17762</Characters>
  <Application>Microsoft Office Word</Application>
  <DocSecurity>0</DocSecurity>
  <Lines>148</Lines>
  <Paragraphs>41</Paragraphs>
  <ScaleCrop>false</ScaleCrop>
  <Company/>
  <LinksUpToDate>false</LinksUpToDate>
  <CharactersWithSpaces>20950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FMR 23 Supplement mc bw.indd</dc:title>
  <cp:lastModifiedBy>Vincent</cp:lastModifiedBy>
  <cp:revision>2</cp:revision>
  <dcterms:created xsi:type="dcterms:W3CDTF">2021-01-20T13:48:00Z</dcterms:created>
  <dcterms:modified xsi:type="dcterms:W3CDTF">2021-01-20T13:48:00Z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2005-09-21T00:00:00Z</vt:filetime>
  </property>
  <property fmtid="{D5CDD505-2E9C-101B-9397-08002B2CF9AE}" pid="3" name="Creator">
    <vt:lpwstr>Adobe InDesign CS (3.0)</vt:lpwstr>
  </property>
  <property fmtid="{D5CDD505-2E9C-101B-9397-08002B2CF9AE}" pid="4" name="LastSaved">
    <vt:filetime>2020-12-03T00:00:00Z</vt:filetime>
  </property>
</Properties>
</file>